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15363" w:type="dxa"/>
        <w:jc w:val="left"/>
        <w:tblInd w:w="285" w:type="dxa"/>
        <w:tblLayout w:type="fixed"/>
        <w:tblCellMar>
          <w:top w:w="150" w:type="dxa"/>
          <w:left w:w="150" w:type="dxa"/>
          <w:bottom w:w="150" w:type="dxa"/>
          <w:right w:w="150" w:type="dxa"/>
        </w:tblCellMar>
        <w:tblLook w:firstRow="1" w:noVBand="1" w:lastRow="0" w:firstColumn="1" w:lastColumn="0" w:noHBand="0" w:val="04a0"/>
      </w:tblPr>
      <w:tblGrid>
        <w:gridCol w:w="2459"/>
        <w:gridCol w:w="12903"/>
      </w:tblGrid>
      <w:tr>
        <w:trPr/>
        <w:tc>
          <w:tcPr>
            <w:tcW w:w="2459" w:type="dxa"/>
            <w:tcBorders>
              <w:top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FAFAFA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Times New Roman" w:cs="Arial" w:ascii="Arial" w:hAnsi="Arial"/>
                <w:b/>
                <w:color w:themeColor="accent4" w:themeShade="80" w:val="403152"/>
                <w:sz w:val="22"/>
                <w:szCs w:val="22"/>
                <w:lang w:eastAsia="ru-RU"/>
              </w:rPr>
              <w:t>Ответственный орган</w:t>
            </w:r>
          </w:p>
        </w:tc>
        <w:tc>
          <w:tcPr>
            <w:tcW w:w="12903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  <w:tcMar>
              <w:left w:w="142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cs="Arial" w:ascii="Arial" w:hAnsi="Arial"/>
                <w:b w:val="false"/>
                <w:bCs w:val="false"/>
                <w:sz w:val="22"/>
                <w:szCs w:val="22"/>
                <w:highlight w:val="white"/>
              </w:rPr>
              <w:t>Департамент социальной политики Курганской области</w:t>
            </w:r>
          </w:p>
        </w:tc>
      </w:tr>
      <w:tr>
        <w:trPr>
          <w:trHeight w:val="618" w:hRule="atLeast"/>
        </w:trPr>
        <w:tc>
          <w:tcPr>
            <w:tcW w:w="2459" w:type="dxa"/>
            <w:tcBorders>
              <w:bottom w:val="single" w:sz="6" w:space="0" w:color="EDEDED"/>
              <w:right w:val="single" w:sz="6" w:space="0" w:color="EDEDED"/>
            </w:tcBorders>
            <w:shd w:color="auto" w:fill="FAFAFA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Times New Roman" w:cs="Arial" w:ascii="Arial" w:hAnsi="Arial"/>
                <w:b/>
                <w:color w:themeColor="accent4" w:themeShade="80" w:val="403152"/>
                <w:sz w:val="22"/>
                <w:szCs w:val="22"/>
                <w:lang w:eastAsia="ru-RU"/>
              </w:rPr>
              <w:t>Наименование услуги</w:t>
            </w:r>
          </w:p>
        </w:tc>
        <w:tc>
          <w:tcPr>
            <w:tcW w:w="12903" w:type="dxa"/>
            <w:tcBorders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  <w:tcMar>
              <w:left w:w="142" w:type="dxa"/>
            </w:tcMar>
          </w:tcPr>
          <w:p>
            <w:pPr>
              <w:pStyle w:val="Normal"/>
              <w:widowControl w:val="false"/>
              <w:spacing w:before="0" w:after="200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Calibri" w:cs="" w:ascii="Arial" w:hAnsi="Arial" w:cstheme="minorBidi" w:eastAsiaTheme="minorHAnsi"/>
                <w:sz w:val="22"/>
                <w:szCs w:val="22"/>
                <w:highlight w:val="white"/>
              </w:rPr>
              <w:t>Обеспечение протезно-ортопедическими изделиями отдельных категорий граждан в Курганской области.</w:t>
            </w:r>
          </w:p>
        </w:tc>
      </w:tr>
      <w:tr>
        <w:trPr/>
        <w:tc>
          <w:tcPr>
            <w:tcW w:w="2459" w:type="dxa"/>
            <w:tcBorders>
              <w:top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FAFAFA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Times New Roman" w:cs="Arial" w:ascii="Arial" w:hAnsi="Arial"/>
                <w:b/>
                <w:color w:themeColor="accent4" w:themeShade="80" w:val="403152"/>
                <w:sz w:val="22"/>
                <w:szCs w:val="22"/>
                <w:lang w:eastAsia="ru-RU"/>
              </w:rPr>
              <w:t>Получатели услуги</w:t>
            </w:r>
          </w:p>
        </w:tc>
        <w:tc>
          <w:tcPr>
            <w:tcW w:w="12903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  <w:tcMar>
              <w:left w:w="142" w:type="dxa"/>
            </w:tcMar>
          </w:tcPr>
          <w:p>
            <w:pPr>
              <w:pStyle w:val="Normal"/>
              <w:widowControl w:val="false"/>
              <w:spacing w:before="0" w:after="200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Calibri" w:cs="" w:ascii="Arial" w:hAnsi="Arial" w:cstheme="minorBidi" w:eastAsiaTheme="minorHAnsi"/>
                <w:b w:val="false"/>
                <w:bCs w:val="false"/>
                <w:sz w:val="22"/>
                <w:szCs w:val="22"/>
                <w:highlight w:val="white"/>
              </w:rPr>
              <w:t>Физические лица</w:t>
            </w:r>
          </w:p>
        </w:tc>
      </w:tr>
      <w:tr>
        <w:trPr>
          <w:trHeight w:val="760" w:hRule="atLeast"/>
        </w:trPr>
        <w:tc>
          <w:tcPr>
            <w:tcW w:w="2459" w:type="dxa"/>
            <w:tcBorders>
              <w:top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FAFAFA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Times New Roman" w:cs="Arial" w:ascii="Arial" w:hAnsi="Arial"/>
                <w:b/>
                <w:color w:themeColor="accent4" w:themeShade="80" w:val="403152"/>
                <w:sz w:val="22"/>
                <w:szCs w:val="22"/>
                <w:lang w:eastAsia="ru-RU"/>
              </w:rPr>
              <w:t>Услуга предоставляется</w:t>
            </w:r>
          </w:p>
        </w:tc>
        <w:tc>
          <w:tcPr>
            <w:tcW w:w="12903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  <w:tcMar>
              <w:left w:w="142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cs="Arial" w:ascii="Arial" w:hAnsi="Arial"/>
                <w:b w:val="false"/>
                <w:bCs w:val="false"/>
                <w:sz w:val="22"/>
                <w:szCs w:val="22"/>
                <w:highlight w:val="white"/>
              </w:rPr>
              <w:t>Департаментом социальной политики Курганской области</w:t>
            </w:r>
          </w:p>
        </w:tc>
      </w:tr>
      <w:tr>
        <w:trPr>
          <w:trHeight w:val="1318" w:hRule="atLeast"/>
        </w:trPr>
        <w:tc>
          <w:tcPr>
            <w:tcW w:w="2459" w:type="dxa"/>
            <w:tcBorders>
              <w:top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FAFAFA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Times New Roman" w:cs="Arial" w:ascii="Arial" w:hAnsi="Arial"/>
                <w:b/>
                <w:color w:themeColor="accent4" w:themeShade="80" w:val="403152"/>
                <w:sz w:val="22"/>
                <w:szCs w:val="22"/>
                <w:lang w:eastAsia="ru-RU"/>
              </w:rPr>
              <w:t>Заявители</w:t>
            </w:r>
          </w:p>
        </w:tc>
        <w:tc>
          <w:tcPr>
            <w:tcW w:w="12903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  <w:tcMar>
              <w:left w:w="142" w:type="dxa"/>
            </w:tcMar>
          </w:tcPr>
          <w:p>
            <w:pPr>
              <w:pStyle w:val="Normal"/>
              <w:ind w:hanging="0" w:left="0"/>
              <w:jc w:val="both"/>
              <w:rPr>
                <w:b/>
                <w:bCs/>
              </w:rPr>
            </w:pPr>
            <w:r>
              <w:rPr>
                <w:rFonts w:ascii="Arial" w:hAnsi="Arial"/>
                <w:b/>
                <w:bCs/>
                <w:i w:val="false"/>
                <w:strike w:val="false"/>
                <w:dstrike w:val="false"/>
                <w:sz w:val="22"/>
                <w:szCs w:val="22"/>
                <w:u w:val="none"/>
              </w:rPr>
              <w:t>Право на обеспечение протезно-ортопедическими изделиями по медицинским показаниям согласно заключению врачебной комиссии медицинской организации имеют следующие категории граждан:</w:t>
            </w:r>
          </w:p>
          <w:p>
            <w:pPr>
              <w:pStyle w:val="Normal"/>
              <w:ind w:hanging="0" w:left="0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2"/>
                <w:szCs w:val="22"/>
                <w:u w:val="none"/>
              </w:rPr>
              <w:t>1) дети-сироты и дети, оставшиеся без попечения родителей;</w:t>
            </w:r>
          </w:p>
          <w:p>
            <w:pPr>
              <w:pStyle w:val="Normal"/>
              <w:spacing w:before="200" w:after="200"/>
              <w:ind w:hanging="0" w:left="0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2"/>
                <w:szCs w:val="22"/>
                <w:u w:val="none"/>
              </w:rPr>
              <w:t>2) дети в возрасте до 18 лет, проживающие в стационарных организациях социального обслуживания;</w:t>
            </w:r>
          </w:p>
          <w:p>
            <w:pPr>
              <w:pStyle w:val="Normal"/>
              <w:spacing w:before="200" w:after="200"/>
              <w:ind w:hanging="0" w:left="0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2"/>
                <w:szCs w:val="22"/>
                <w:u w:val="none"/>
              </w:rPr>
              <w:t>3) дети в возрасте до 18 лет, проживающие в семьях со среднедушевым доходом, размер которого составляет не более 200 процентов величины прожиточного минимума на душу населения, установленной в Курганской области;</w:t>
            </w:r>
          </w:p>
          <w:p>
            <w:pPr>
              <w:pStyle w:val="Normal"/>
              <w:spacing w:before="200" w:after="200"/>
              <w:ind w:hanging="0" w:left="0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2"/>
                <w:szCs w:val="22"/>
                <w:u w:val="none"/>
              </w:rPr>
              <w:t>4) граждане, среднедушевой доход семьи которых не превышает 150 процентов величины прожиточного минимума на душу населения, установленной в Курганской области.</w:t>
            </w:r>
          </w:p>
          <w:p>
            <w:pPr>
              <w:pStyle w:val="Normal"/>
              <w:widowControl w:val="false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before="0" w:after="200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Calibri" w:cs="" w:ascii="Arial" w:hAnsi="Arial" w:cstheme="minorBidi" w:eastAsiaTheme="minorHAnsi"/>
                <w:b w:val="false"/>
                <w:bCs w:val="false"/>
                <w:sz w:val="22"/>
                <w:szCs w:val="22"/>
                <w:highlight w:val="white"/>
              </w:rPr>
              <w:t>Граждане, обеспечение которых протезно-ортопедическими изделиями производится в соответствии с федеральным законодательством, не имеют права на обеспечение протезно-ортопедическими изделиями.</w:t>
            </w:r>
          </w:p>
        </w:tc>
      </w:tr>
      <w:tr>
        <w:trPr>
          <w:trHeight w:val="8435" w:hRule="atLeast"/>
        </w:trPr>
        <w:tc>
          <w:tcPr>
            <w:tcW w:w="2459" w:type="dxa"/>
            <w:tcBorders>
              <w:top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FAFAFA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Times New Roman" w:cs="Arial" w:ascii="Arial" w:hAnsi="Arial"/>
                <w:b/>
                <w:color w:themeColor="accent4" w:themeShade="80" w:val="403152"/>
                <w:sz w:val="22"/>
                <w:szCs w:val="22"/>
                <w:lang w:eastAsia="ru-RU"/>
              </w:rPr>
              <w:t>Обязательные документы</w:t>
            </w:r>
          </w:p>
        </w:tc>
        <w:tc>
          <w:tcPr>
            <w:tcW w:w="12903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  <w:tcMar>
              <w:left w:w="142" w:type="dxa"/>
            </w:tcMar>
          </w:tcPr>
          <w:p>
            <w:pPr>
              <w:pStyle w:val="Normal"/>
              <w:ind w:hanging="0" w:left="0"/>
              <w:jc w:val="both"/>
              <w:rPr/>
            </w:pP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2"/>
                <w:szCs w:val="22"/>
                <w:u w:val="none"/>
              </w:rPr>
              <w:t xml:space="preserve">1) </w:t>
            </w: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color w:val="111111"/>
                <w:sz w:val="22"/>
                <w:szCs w:val="22"/>
                <w:u w:val="none"/>
              </w:rPr>
              <w:t>заявление</w:t>
            </w: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2"/>
                <w:szCs w:val="22"/>
                <w:u w:val="none"/>
              </w:rPr>
              <w:t xml:space="preserve"> гражданина (представителя гражданина или законного представителя гражданина (далее - представитель)) об обеспечении протезно-ортопедическими изделиями;</w:t>
            </w:r>
          </w:p>
          <w:p>
            <w:pPr>
              <w:pStyle w:val="Normal"/>
              <w:spacing w:before="200" w:after="200"/>
              <w:ind w:hanging="0" w:left="0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2"/>
                <w:szCs w:val="22"/>
                <w:u w:val="none"/>
              </w:rPr>
              <w:t>2) копия документа, удостоверяющего личность гражданина;</w:t>
            </w:r>
          </w:p>
          <w:p>
            <w:pPr>
              <w:pStyle w:val="Normal"/>
              <w:spacing w:before="200" w:after="200"/>
              <w:ind w:hanging="0" w:left="0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2"/>
                <w:szCs w:val="22"/>
                <w:u w:val="none"/>
              </w:rPr>
              <w:t>3) копия заключения врачебной комиссии медицинской организации, подтверждающего наличие медицинских показаний для обеспечения гражданина протезно-ортопедическим изделием, с указанием его вида и модели;</w:t>
            </w:r>
          </w:p>
          <w:p>
            <w:pPr>
              <w:pStyle w:val="Normal"/>
              <w:spacing w:before="200" w:after="200"/>
              <w:ind w:hanging="0" w:left="0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2"/>
                <w:szCs w:val="22"/>
                <w:u w:val="none"/>
              </w:rPr>
              <w:t>4) копия документа (сведений), подтверждающих рождение (усыновление) гражданина (для детей-сирот и детей, оставшихся без попечения родителей; для детей в возрасте до 18 лет, проживающих в стационарных организациях социального обслуживания; для детей в возрасте до 18 лет, проживающих в семьях со среднедушевым доходом, размер которого составляет не более 200 процентов величины прожиточного минимума на душу населения, установленной в Курганской области);</w:t>
            </w:r>
          </w:p>
          <w:p>
            <w:pPr>
              <w:pStyle w:val="Normal"/>
              <w:spacing w:before="200" w:after="200"/>
              <w:ind w:hanging="0" w:left="0"/>
              <w:jc w:val="both"/>
              <w:rPr/>
            </w:pP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2"/>
                <w:szCs w:val="22"/>
                <w:u w:val="none"/>
              </w:rPr>
              <w:t xml:space="preserve">5) </w:t>
            </w: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color w:val="111111"/>
                <w:sz w:val="22"/>
                <w:szCs w:val="22"/>
                <w:u w:val="none"/>
              </w:rPr>
              <w:t>согласие</w:t>
            </w: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2"/>
                <w:szCs w:val="22"/>
                <w:u w:val="none"/>
              </w:rPr>
              <w:t xml:space="preserve"> на обработку персональных данных;</w:t>
            </w:r>
          </w:p>
          <w:p>
            <w:pPr>
              <w:pStyle w:val="Normal"/>
              <w:spacing w:before="200" w:after="200"/>
              <w:ind w:hanging="0" w:left="0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2"/>
                <w:szCs w:val="22"/>
                <w:u w:val="none"/>
              </w:rPr>
              <w:t>6) копия индивидуальной программы реабилитации и абилитации гражданина (при наличии у него инвалидности);</w:t>
            </w:r>
          </w:p>
          <w:p>
            <w:pPr>
              <w:pStyle w:val="Normal"/>
              <w:spacing w:before="200" w:after="200"/>
              <w:ind w:hanging="0" w:left="0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2"/>
                <w:szCs w:val="22"/>
                <w:u w:val="none"/>
              </w:rPr>
              <w:t>7) копии документов (сведений) органа опеки и попечительства, подтверждающих, что гражданин имеет статус ребенка-сироты, ребенка, оставшегося без попечения родителей (для детей-сирот и детей, оставшиеся без попечения родителей);</w:t>
            </w:r>
          </w:p>
          <w:p>
            <w:pPr>
              <w:pStyle w:val="Normal"/>
              <w:spacing w:before="200" w:after="200"/>
              <w:ind w:hanging="0" w:left="0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2"/>
                <w:szCs w:val="22"/>
                <w:u w:val="none"/>
              </w:rPr>
              <w:t>8) копии документов (сведений) о нахождении гражданина в стационарной организации социального обслуживания (для детей в возрасте до 18 лет, проживающих в стационарных организациях социального обслуживания );</w:t>
            </w:r>
          </w:p>
          <w:p>
            <w:pPr>
              <w:pStyle w:val="Normal"/>
              <w:spacing w:before="200" w:after="200"/>
              <w:ind w:hanging="0" w:left="0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2"/>
                <w:szCs w:val="22"/>
                <w:u w:val="none"/>
              </w:rPr>
              <w:t>9) копия свидетельства о заключении гражданами брака (для детей в возрасте до 18 лет, проживающих в семьях со среднедушевым доходом, размер которого составляет не более 200 процентов величины прожиточного минимума на душу населения, установленной в Курганской области; для граждан, среднедушевой доход семьи которых не превышает 150 процентов величины прожиточного минимума на душу населения, установленной в Курганской области);</w:t>
            </w:r>
          </w:p>
          <w:p>
            <w:pPr>
              <w:pStyle w:val="Normal"/>
              <w:spacing w:before="200" w:after="200"/>
              <w:ind w:hanging="0" w:left="0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2"/>
                <w:szCs w:val="22"/>
                <w:u w:val="none"/>
              </w:rPr>
              <w:t>10) копии документов (сведений), подтверждающих доход семьи гражданина за последние три месяца, предшествующие месяцу подачи заявления (для детей в возрасте до 18 лет, проживающих в семьях со среднедушевым доходом, размер которого составляет не более 200 процентов величины прожиточного минимума на душу населения, установленной в Курганской области; для граждан, среднедушевой доход семьи которых не превышает 150 процентов величины прожиточного минимума на душу населения, установленной в Курганской области);;</w:t>
            </w:r>
          </w:p>
          <w:p>
            <w:pPr>
              <w:pStyle w:val="Normal"/>
              <w:spacing w:before="200" w:after="200"/>
              <w:ind w:hanging="0" w:left="0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2"/>
                <w:szCs w:val="22"/>
                <w:u w:val="none"/>
              </w:rPr>
              <w:t>11) копии документов (сведений) из соответствующих организаций о наличии обстоятельств:</w:t>
            </w:r>
          </w:p>
          <w:p>
            <w:pPr>
              <w:pStyle w:val="Normal"/>
              <w:spacing w:before="200" w:after="200"/>
              <w:ind w:hanging="0" w:left="0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2"/>
                <w:szCs w:val="22"/>
                <w:u w:val="none"/>
              </w:rPr>
              <w:t xml:space="preserve"> </w:t>
            </w: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2"/>
                <w:szCs w:val="22"/>
                <w:u w:val="none"/>
              </w:rPr>
              <w:t>-супруг (супруга), проходящий(ая) военную службу по призыву в качестве сержанта, старшины, солдата или матроса либо обучающийся в военной профессиональной образовательной организации или военной образовательной организации высшего образования до заключения контракта о прохождении военной службы;</w:t>
            </w:r>
          </w:p>
          <w:p>
            <w:pPr>
              <w:pStyle w:val="Normal"/>
              <w:spacing w:before="200" w:after="200"/>
              <w:ind w:hanging="0" w:left="0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2"/>
                <w:szCs w:val="22"/>
                <w:u w:val="none"/>
              </w:rPr>
              <w:t>-супруг (супруга), отсутствующий(ая) в семье в связи с осуждением к лишению свободы или нахождением под арестом, на принудительном лечении по решению суда, в связи с прохождением судебно-медицинской экспертизы на основании постановления следственных органов или суда);</w:t>
            </w:r>
          </w:p>
          <w:p>
            <w:pPr>
              <w:pStyle w:val="Normal"/>
              <w:spacing w:before="200" w:after="200"/>
              <w:ind w:hanging="0" w:left="0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2"/>
                <w:szCs w:val="22"/>
                <w:u w:val="none"/>
              </w:rPr>
              <w:t>12) копии документов, подтверждающих личность и полномочия представителя (в случае подачи заявления представителем);</w:t>
            </w:r>
          </w:p>
          <w:p>
            <w:pPr>
              <w:pStyle w:val="Normal"/>
              <w:spacing w:before="200" w:after="200"/>
              <w:ind w:hanging="0" w:left="0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2"/>
                <w:szCs w:val="22"/>
                <w:u w:val="none"/>
              </w:rPr>
              <w:t>13) копии документов (сведений) органа опеки и попечительства об установлении над ребенком (детьми) опеки (попечительства), в том числе по договору о приемной семье (при наличии соответствующего факта).</w:t>
            </w:r>
          </w:p>
          <w:p>
            <w:pPr>
              <w:pStyle w:val="Normal"/>
              <w:spacing w:before="200" w:after="200"/>
              <w:ind w:hanging="0" w:left="0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before="0" w:after="200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</w:r>
          </w:p>
        </w:tc>
      </w:tr>
      <w:tr>
        <w:trPr/>
        <w:tc>
          <w:tcPr>
            <w:tcW w:w="2459" w:type="dxa"/>
            <w:tcBorders>
              <w:top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FAFAFA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Times New Roman" w:cs="Arial" w:ascii="Arial" w:hAnsi="Arial"/>
                <w:b/>
                <w:color w:themeColor="accent4" w:themeShade="80" w:val="403152"/>
                <w:sz w:val="22"/>
                <w:szCs w:val="22"/>
                <w:lang w:eastAsia="ru-RU"/>
              </w:rPr>
              <w:t>Необязательные документы</w:t>
            </w:r>
          </w:p>
        </w:tc>
        <w:tc>
          <w:tcPr>
            <w:tcW w:w="12903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  <w:tcMar>
              <w:left w:w="142" w:type="dxa"/>
            </w:tcMar>
          </w:tcPr>
          <w:p>
            <w:pPr>
              <w:pStyle w:val="Normal"/>
              <w:ind w:hanging="0" w:left="0"/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>
              <w:rPr>
                <w:rFonts w:ascii="Arial" w:hAnsi="Arial"/>
                <w:b/>
                <w:bCs/>
                <w:i w:val="false"/>
                <w:strike w:val="false"/>
                <w:dstrike w:val="false"/>
                <w:sz w:val="22"/>
                <w:szCs w:val="22"/>
                <w:u w:val="none"/>
              </w:rPr>
              <w:t>Документы (сведения) которые гражданин (представитель) вправе представить по собственной инициативе:</w:t>
            </w:r>
          </w:p>
          <w:p>
            <w:pPr>
              <w:pStyle w:val="Normal"/>
              <w:spacing w:before="200" w:after="200"/>
              <w:ind w:hanging="0" w:left="0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cs="" w:ascii="Arial" w:hAnsi="Arial" w:cstheme="minorBidi"/>
                <w:b w:val="false"/>
                <w:bCs w:val="false"/>
                <w:i w:val="false"/>
                <w:strike w:val="false"/>
                <w:dstrike w:val="false"/>
                <w:sz w:val="22"/>
                <w:szCs w:val="22"/>
                <w:highlight w:val="white"/>
                <w:u w:val="none"/>
              </w:rPr>
              <w:t>1) копия документа (сведений), подтверждающих рождение (усыновление) гражданина (для детей-сирот и детей, оставшихся без попечения родителей; для детей в возрасте до 18 лет, проживающих в стационарных организациях социального обслуживания; для детей в возрасте до 18 лет, проживающих в семьях со среднедушевым доходом, размер которого составляет не более 200 процентов величины прожиточного минимума на душу населения, установленной в Курганской области);</w:t>
            </w:r>
          </w:p>
          <w:p>
            <w:pPr>
              <w:pStyle w:val="Normal"/>
              <w:spacing w:before="200" w:after="200"/>
              <w:ind w:hanging="0" w:left="0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2"/>
                <w:szCs w:val="22"/>
                <w:u w:val="none"/>
              </w:rPr>
              <w:t>2) копия индивидуальной программы реабилитации и абилитации гражданина (при наличии у него инвалидности);</w:t>
            </w:r>
          </w:p>
          <w:p>
            <w:pPr>
              <w:pStyle w:val="Normal"/>
              <w:spacing w:before="200" w:after="200"/>
              <w:ind w:hanging="0" w:left="0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2"/>
                <w:szCs w:val="22"/>
                <w:u w:val="none"/>
              </w:rPr>
              <w:t>3) копии документов (сведений) органа опеки и попечительства, подтверждающих, что гражданин имеет статус ребенка-сироты, ребенка, оставшегося без попечения родителей (для детей-сирот и детей, оставшиеся без попечения родителей);</w:t>
            </w:r>
          </w:p>
          <w:p>
            <w:pPr>
              <w:pStyle w:val="Normal"/>
              <w:spacing w:before="200" w:after="200"/>
              <w:ind w:hanging="0" w:left="0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2"/>
                <w:szCs w:val="22"/>
                <w:u w:val="none"/>
              </w:rPr>
              <w:t>4) копии документов (сведений) о нахождении гражданина в стационарной организации социального обслуживания (для детей в возрасте до 18 лет, проживающих в стационарных организациях социального обслуживания );</w:t>
            </w:r>
          </w:p>
          <w:p>
            <w:pPr>
              <w:pStyle w:val="Normal"/>
              <w:spacing w:before="200" w:after="200"/>
              <w:ind w:hanging="0" w:left="0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cs="" w:ascii="Arial" w:hAnsi="Arial" w:cstheme="minorBidi"/>
                <w:b w:val="false"/>
                <w:bCs w:val="false"/>
                <w:i w:val="false"/>
                <w:strike w:val="false"/>
                <w:dstrike w:val="false"/>
                <w:sz w:val="22"/>
                <w:szCs w:val="22"/>
                <w:highlight w:val="white"/>
                <w:u w:val="none"/>
              </w:rPr>
              <w:t>5) копия свидетельства о заключении гражданами брака (для детей в возрасте до 18 лет, проживающих в семьях со среднедушевым доходом, размер которого составляет не более 200 процентов величины прожиточного минимума на душу населения, установленной в Курганской области; для граждан, среднедушевой доход семьи которых не превышает 150 процентов величины прожиточного минимума на душу населения, установленной в Курганской области);</w:t>
            </w:r>
          </w:p>
          <w:p>
            <w:pPr>
              <w:pStyle w:val="Normal"/>
              <w:spacing w:before="200" w:after="200"/>
              <w:ind w:hanging="0" w:left="0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cs="" w:ascii="Arial" w:hAnsi="Arial" w:cstheme="minorBidi"/>
                <w:b w:val="false"/>
                <w:bCs w:val="false"/>
                <w:i w:val="false"/>
                <w:strike w:val="false"/>
                <w:dstrike w:val="false"/>
                <w:sz w:val="22"/>
                <w:szCs w:val="22"/>
                <w:highlight w:val="white"/>
                <w:u w:val="none"/>
              </w:rPr>
              <w:t>6) копии документов (сведений) органа опеки и попечительства об установлении над ребенком (детьми) опеки (попечительства), в том числе по договору о приемной семье (при наличии соответствующего факта).</w:t>
            </w:r>
          </w:p>
        </w:tc>
      </w:tr>
      <w:tr>
        <w:trPr/>
        <w:tc>
          <w:tcPr>
            <w:tcW w:w="2459" w:type="dxa"/>
            <w:tcBorders>
              <w:top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FAFAFA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Times New Roman" w:cs="Arial" w:ascii="Arial" w:hAnsi="Arial"/>
                <w:b/>
                <w:color w:themeColor="accent4" w:themeShade="80" w:val="403152"/>
                <w:sz w:val="22"/>
                <w:szCs w:val="22"/>
                <w:lang w:eastAsia="ru-RU"/>
              </w:rPr>
              <w:t>Результат</w:t>
            </w:r>
          </w:p>
        </w:tc>
        <w:tc>
          <w:tcPr>
            <w:tcW w:w="12903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  <w:tcMar>
              <w:left w:w="142" w:type="dxa"/>
            </w:tcMar>
          </w:tcPr>
          <w:p>
            <w:pPr>
              <w:pStyle w:val="Normal"/>
              <w:widowControl w:val="false"/>
              <w:spacing w:lineRule="auto" w:line="240" w:before="220" w:after="200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cs="" w:ascii="Arial" w:hAnsi="Arial" w:cstheme="minorBidi"/>
                <w:sz w:val="22"/>
                <w:szCs w:val="22"/>
                <w:highlight w:val="white"/>
              </w:rPr>
              <w:t xml:space="preserve">Результатом предоставления государственной услуги является обеспечение </w:t>
            </w:r>
            <w:r>
              <w:rPr>
                <w:rFonts w:ascii="Arial" w:hAnsi="Arial"/>
                <w:sz w:val="22"/>
                <w:szCs w:val="22"/>
              </w:rPr>
              <w:t>протезно-ортопедическими изделиями либо отказ в обеспечении протезно-</w:t>
            </w:r>
            <w:r>
              <w:rPr>
                <w:rFonts w:cs="" w:ascii="Arial" w:hAnsi="Arial" w:cstheme="minorBidi"/>
                <w:sz w:val="22"/>
                <w:szCs w:val="22"/>
                <w:highlight w:val="white"/>
              </w:rPr>
              <w:t>ортопедическими изделиями.</w:t>
            </w:r>
          </w:p>
        </w:tc>
      </w:tr>
      <w:tr>
        <w:trPr/>
        <w:tc>
          <w:tcPr>
            <w:tcW w:w="2459" w:type="dxa"/>
            <w:tcBorders>
              <w:top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FAFAFA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Times New Roman" w:cs="Arial" w:ascii="Arial" w:hAnsi="Arial"/>
                <w:b/>
                <w:color w:themeColor="accent4" w:themeShade="80" w:val="403152"/>
                <w:sz w:val="22"/>
                <w:szCs w:val="22"/>
                <w:lang w:eastAsia="ru-RU"/>
              </w:rPr>
              <w:t>Срок предоставления услуги</w:t>
            </w:r>
          </w:p>
        </w:tc>
        <w:tc>
          <w:tcPr>
            <w:tcW w:w="12903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  <w:tcMar>
              <w:left w:w="142" w:type="dxa"/>
            </w:tcMar>
          </w:tcPr>
          <w:p>
            <w:pPr>
              <w:pStyle w:val="Normal"/>
              <w:ind w:hanging="0" w:left="0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2"/>
                <w:szCs w:val="22"/>
                <w:u w:val="none"/>
              </w:rPr>
              <w:t xml:space="preserve">Решение принимается Департаментом в течение </w:t>
            </w:r>
            <w:r>
              <w:rPr>
                <w:rFonts w:ascii="Arial" w:hAnsi="Arial"/>
                <w:b/>
                <w:bCs/>
                <w:i w:val="false"/>
                <w:strike w:val="false"/>
                <w:dstrike w:val="false"/>
                <w:sz w:val="22"/>
                <w:szCs w:val="22"/>
                <w:u w:val="none"/>
              </w:rPr>
              <w:t>десяти рабочих дней</w:t>
            </w: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2"/>
                <w:szCs w:val="22"/>
                <w:u w:val="none"/>
              </w:rPr>
              <w:t xml:space="preserve"> со дня регистрации заявления гражданина.</w:t>
            </w:r>
          </w:p>
          <w:p>
            <w:pPr>
              <w:pStyle w:val="Normal"/>
              <w:widowControl w:val="false"/>
              <w:spacing w:before="0" w:after="200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</w:r>
          </w:p>
        </w:tc>
      </w:tr>
      <w:tr>
        <w:trPr/>
        <w:tc>
          <w:tcPr>
            <w:tcW w:w="2459" w:type="dxa"/>
            <w:tcBorders>
              <w:top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FAFAFA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Times New Roman" w:cs="Arial" w:ascii="Arial" w:hAnsi="Arial"/>
                <w:b/>
                <w:color w:themeColor="accent4" w:themeShade="80" w:val="403152"/>
                <w:sz w:val="22"/>
                <w:szCs w:val="22"/>
                <w:lang w:eastAsia="ru-RU"/>
              </w:rPr>
              <w:t>Основания для отказа в приеме заявления</w:t>
            </w:r>
          </w:p>
        </w:tc>
        <w:tc>
          <w:tcPr>
            <w:tcW w:w="12903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  <w:tcMar>
              <w:left w:w="142" w:type="dxa"/>
            </w:tcMar>
          </w:tcPr>
          <w:p>
            <w:pPr>
              <w:pStyle w:val="ListParagraph"/>
              <w:widowControl w:val="false"/>
              <w:spacing w:lineRule="auto" w:line="240" w:before="0" w:after="0"/>
              <w:ind w:hanging="0" w:left="0"/>
              <w:contextualSpacing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Times New Roman" w:cs="Arial" w:ascii="Arial" w:hAnsi="Arial"/>
                <w:b w:val="false"/>
                <w:bCs w:val="false"/>
                <w:color w:val="000000"/>
                <w:sz w:val="22"/>
                <w:szCs w:val="22"/>
                <w:highlight w:val="white"/>
                <w:lang w:eastAsia="ru-RU"/>
              </w:rPr>
              <w:t>отсутствуют</w:t>
            </w:r>
          </w:p>
        </w:tc>
      </w:tr>
      <w:tr>
        <w:trPr/>
        <w:tc>
          <w:tcPr>
            <w:tcW w:w="2459" w:type="dxa"/>
            <w:tcBorders>
              <w:top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FAFAFA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Times New Roman" w:cs="Arial" w:ascii="Arial" w:hAnsi="Arial"/>
                <w:b/>
                <w:color w:themeColor="accent4" w:themeShade="80" w:val="403152"/>
                <w:sz w:val="22"/>
                <w:szCs w:val="22"/>
                <w:lang w:eastAsia="ru-RU"/>
              </w:rPr>
              <w:t>Стоимость</w:t>
            </w:r>
          </w:p>
        </w:tc>
        <w:tc>
          <w:tcPr>
            <w:tcW w:w="12903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  <w:tcMar>
              <w:left w:w="142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Times New Roman" w:cs="Arial" w:ascii="Arial" w:hAnsi="Arial"/>
                <w:b w:val="false"/>
                <w:bCs w:val="false"/>
                <w:color w:val="000000"/>
                <w:sz w:val="22"/>
                <w:szCs w:val="22"/>
                <w:highlight w:val="white"/>
                <w:lang w:eastAsia="ru-RU"/>
              </w:rPr>
              <w:t>бесплатно</w:t>
            </w:r>
          </w:p>
        </w:tc>
      </w:tr>
      <w:tr>
        <w:trPr>
          <w:trHeight w:val="1653" w:hRule="atLeast"/>
        </w:trPr>
        <w:tc>
          <w:tcPr>
            <w:tcW w:w="2459" w:type="dxa"/>
            <w:tcBorders>
              <w:top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FAFAFA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Times New Roman" w:cs="Arial" w:ascii="Arial" w:hAnsi="Arial"/>
                <w:b/>
                <w:color w:themeColor="accent4" w:themeShade="80" w:val="403152"/>
                <w:sz w:val="22"/>
                <w:szCs w:val="22"/>
                <w:lang w:eastAsia="ru-RU"/>
              </w:rPr>
              <w:t>Иные требования, учитывающие особенности предоставления государственной услуги через МФЦ</w:t>
            </w:r>
          </w:p>
        </w:tc>
        <w:tc>
          <w:tcPr>
            <w:tcW w:w="12903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  <w:tcMar>
              <w:left w:w="142" w:type="dxa"/>
            </w:tcMar>
          </w:tcPr>
          <w:p>
            <w:pPr>
              <w:pStyle w:val="Normal"/>
              <w:ind w:hanging="0" w:left="0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2"/>
                <w:szCs w:val="22"/>
                <w:u w:val="none"/>
              </w:rPr>
              <w:t xml:space="preserve">Уведомление об обеспечении протезно-ортопедическими изделиями и внесении сведений о гражданине в реестр либо об отказе в обеспечении протезно-ортопедическими изделиями направляется Департаментом гражданину (представителю) </w:t>
            </w:r>
            <w:r>
              <w:rPr>
                <w:rFonts w:ascii="Arial" w:hAnsi="Arial"/>
                <w:b/>
                <w:bCs/>
                <w:i w:val="false"/>
                <w:strike w:val="false"/>
                <w:dstrike w:val="false"/>
                <w:sz w:val="22"/>
                <w:szCs w:val="22"/>
                <w:u w:val="none"/>
              </w:rPr>
              <w:t>в течение пяти рабочих дней со дня вынесения решения по указанному в заявлении адресу.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0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sz w:val="22"/>
                <w:szCs w:val="22"/>
                <w:highlight w:val="white"/>
                <w:lang w:eastAsia="ru-RU"/>
              </w:rPr>
              <w:t>Результат предоставления государственной услуги в МФЦ не выдается.</w:t>
            </w:r>
          </w:p>
        </w:tc>
      </w:tr>
      <w:tr>
        <w:trPr/>
        <w:tc>
          <w:tcPr>
            <w:tcW w:w="2459" w:type="dxa"/>
            <w:tcBorders>
              <w:top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FAFAFA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Times New Roman" w:cs="Arial" w:ascii="Arial" w:hAnsi="Arial"/>
                <w:b/>
                <w:color w:themeColor="accent4" w:themeShade="80" w:val="403152"/>
                <w:sz w:val="22"/>
                <w:szCs w:val="22"/>
                <w:lang w:eastAsia="ru-RU"/>
              </w:rPr>
              <w:t>Административный регламент</w:t>
            </w:r>
          </w:p>
        </w:tc>
        <w:tc>
          <w:tcPr>
            <w:tcW w:w="12903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  <w:tcMar>
              <w:left w:w="142" w:type="dxa"/>
            </w:tcMar>
          </w:tcPr>
          <w:p>
            <w:pPr>
              <w:pStyle w:val="Normal"/>
              <w:widowControl w:val="false"/>
              <w:spacing w:before="0" w:after="200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Calibri" w:cs="" w:ascii="Arial" w:hAnsi="Arial" w:cstheme="minorBidi" w:eastAsiaTheme="minorHAnsi"/>
                <w:b w:val="false"/>
                <w:bCs w:val="false"/>
                <w:sz w:val="22"/>
                <w:szCs w:val="22"/>
                <w:highlight w:val="white"/>
              </w:rPr>
              <w:t>Постановление Правительства Курганской области от 28.08.2024 N 271 "Об утверждении Порядка обеспечения протезно-ортопедическими изделиями отдельных категорий граждан в Курганской области".</w:t>
            </w:r>
          </w:p>
          <w:p>
            <w:pPr>
              <w:pStyle w:val="Normal"/>
              <w:widowControl w:val="false"/>
              <w:spacing w:before="0" w:after="200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Calibri" w:cs="" w:ascii="Arial" w:hAnsi="Arial" w:cstheme="minorBidi" w:eastAsiaTheme="minorHAnsi"/>
                <w:b w:val="false"/>
                <w:bCs w:val="false"/>
                <w:sz w:val="22"/>
                <w:szCs w:val="22"/>
                <w:highlight w:val="white"/>
              </w:rPr>
              <w:t>Приказ Департамента социальной политики Курганской области от 21.10.2026 № 307/Пр «Об утверждении Административного регламента предоставления Департаментом социальной политики курганской области государственной услуги «</w:t>
            </w:r>
            <w:r>
              <w:rPr>
                <w:rFonts w:eastAsia="Calibri" w:cs="Arial" w:ascii="Arial" w:hAnsi="Arial" w:eastAsiaTheme="minorHAnsi"/>
                <w:b w:val="false"/>
                <w:bCs w:val="false"/>
                <w:color w:val="090202"/>
                <w:sz w:val="22"/>
                <w:szCs w:val="22"/>
                <w:highlight w:val="white"/>
                <w:shd w:fill="BF819E" w:val="clear"/>
              </w:rPr>
              <w:t>Обеспечение протезно-ортопедическими изделиями отдельных категорий граждан в Курганской области».</w:t>
            </w:r>
          </w:p>
        </w:tc>
      </w:tr>
    </w:tbl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</w:r>
    </w:p>
    <w:sectPr>
      <w:type w:val="nextPage"/>
      <w:pgSz w:orient="landscape" w:w="16838" w:h="11906"/>
      <w:pgMar w:left="851" w:right="1134" w:gutter="0" w:header="0" w:top="426" w:footer="0" w:bottom="85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  <w:font w:name="Arial">
    <w:charset w:val="cc"/>
    <w:family w:val="swiss"/>
    <w:pitch w:val="variable"/>
  </w:font>
</w:fonts>
</file>

<file path=word/settings.xml><?xml version="1.0" encoding="utf-8"?>
<w:settings xmlns:w="http://schemas.openxmlformats.org/wordprocessingml/2006/main">
  <w:zoom w:percent="80"/>
  <w:defaultTabStop w:val="720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basedOn w:val="DefaultParagraphFont"/>
    <w:uiPriority w:val="99"/>
    <w:semiHidden/>
    <w:qFormat/>
    <w:rsid w:val="00236378"/>
    <w:rPr>
      <w:rFonts w:ascii="Tahoma" w:hAnsi="Tahoma" w:cs="Tahoma"/>
      <w:sz w:val="16"/>
      <w:szCs w:val="16"/>
    </w:rPr>
  </w:style>
  <w:style w:type="character" w:styleId="1" w:customStyle="1">
    <w:name w:val="Основной шрифт абзаца1"/>
    <w:qFormat/>
    <w:rsid w:val="002670ce"/>
    <w:rPr/>
  </w:style>
  <w:style w:type="character" w:styleId="Style15">
    <w:name w:val="Основной шрифт абзаца"/>
    <w:qFormat/>
    <w:rPr/>
  </w:style>
  <w:style w:type="character" w:styleId="Hyperlink">
    <w:name w:val="Hyperlink"/>
    <w:rPr>
      <w:color w:val="000080"/>
      <w:u w:val="single"/>
    </w:rPr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BodyText">
    <w:name w:val="Body Text"/>
    <w:basedOn w:val="Normal"/>
    <w:pPr>
      <w:spacing w:lineRule="auto" w:line="288" w:before="0" w:after="140"/>
    </w:pPr>
    <w:rPr/>
  </w:style>
  <w:style w:type="paragraph" w:styleId="List">
    <w:name w:val="List"/>
    <w:basedOn w:val="BodyText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Mang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uiPriority w:val="99"/>
    <w:semiHidden/>
    <w:unhideWhenUsed/>
    <w:qFormat/>
    <w:rsid w:val="00236378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166e5"/>
    <w:pPr>
      <w:spacing w:before="0" w:after="200"/>
      <w:ind w:hanging="0" w:left="720"/>
      <w:contextualSpacing/>
    </w:pPr>
    <w:rPr/>
  </w:style>
  <w:style w:type="paragraph" w:styleId="ng-scope" w:customStyle="1">
    <w:name w:val="ng-scope"/>
    <w:basedOn w:val="Normal"/>
    <w:qFormat/>
    <w:rsid w:val="00b94dec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western" w:customStyle="1">
    <w:name w:val="western"/>
    <w:basedOn w:val="Normal"/>
    <w:qFormat/>
    <w:rsid w:val="005d143e"/>
    <w:pPr>
      <w:spacing w:lineRule="auto" w:line="288" w:beforeAutospacing="1" w:after="142"/>
    </w:pPr>
    <w:rPr>
      <w:rFonts w:ascii="Calibri" w:hAnsi="Calibri" w:eastAsia="Times New Roman" w:cs="Times New Roman"/>
      <w:color w:val="00000A"/>
      <w:lang w:eastAsia="ru-RU"/>
    </w:rPr>
  </w:style>
  <w:style w:type="paragraph" w:styleId="ConsPlusTitle" w:customStyle="1">
    <w:name w:val="ConsPlusTitle"/>
    <w:qFormat/>
    <w:rsid w:val="005c6575"/>
    <w:pPr>
      <w:widowControl w:val="false"/>
      <w:suppressAutoHyphens w:val="true"/>
      <w:bidi w:val="0"/>
      <w:spacing w:lineRule="auto" w:line="240" w:before="0" w:after="0"/>
      <w:jc w:val="left"/>
    </w:pPr>
    <w:rPr>
      <w:rFonts w:ascii="Calibri" w:hAnsi="Calibri" w:eastAsia="Times New Roman" w:cs="Calibri" w:asciiTheme="minorHAnsi" w:hAnsiTheme="minorHAnsi"/>
      <w:b/>
      <w:color w:val="auto"/>
      <w:kern w:val="0"/>
      <w:sz w:val="22"/>
      <w:szCs w:val="20"/>
      <w:lang w:val="ru-RU" w:eastAsia="ru-RU" w:bidi="ar-SA"/>
    </w:rPr>
  </w:style>
  <w:style w:type="paragraph" w:styleId="ConsPlusNormal" w:customStyle="1">
    <w:name w:val="ConsPlusNormal"/>
    <w:qFormat/>
    <w:rsid w:val="005c6575"/>
    <w:pPr>
      <w:widowControl w:val="false"/>
      <w:suppressAutoHyphens w:val="true"/>
      <w:bidi w:val="0"/>
      <w:spacing w:lineRule="auto" w:line="240" w:before="0" w:after="0"/>
      <w:jc w:val="left"/>
    </w:pPr>
    <w:rPr>
      <w:rFonts w:ascii="Calibri" w:hAnsi="Calibri" w:eastAsia="Times New Roman" w:cs="Calibri" w:asciiTheme="minorHAnsi" w:hAnsiTheme="minorHAnsi"/>
      <w:color w:val="auto"/>
      <w:kern w:val="0"/>
      <w:sz w:val="22"/>
      <w:szCs w:val="20"/>
      <w:lang w:val="ru-RU" w:eastAsia="ru-RU" w:bidi="ar-SA"/>
    </w:rPr>
  </w:style>
  <w:style w:type="paragraph" w:styleId="Style18">
    <w:name w:val="Содержимое таблицы"/>
    <w:basedOn w:val="Normal"/>
    <w:qFormat/>
    <w:pPr>
      <w:suppressLineNumbers/>
    </w:pPr>
    <w:rPr/>
  </w:style>
  <w:style w:type="paragraph" w:styleId="Style19">
    <w:name w:val="Заголовок таблицы"/>
    <w:basedOn w:val="Style18"/>
    <w:qFormat/>
    <w:pPr>
      <w:suppressLineNumbers/>
      <w:jc w:val="center"/>
    </w:pPr>
    <w:rPr>
      <w:b/>
      <w:bCs/>
    </w:rPr>
  </w:style>
  <w:style w:type="numbering" w:styleId="user2" w:default="1">
    <w:name w:val="Без списка (user)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464</TotalTime>
  <Application>LibreOffice/25.2.7.2$Windows_X86_64 LibreOffice_project/5cbfd1ab6520636bb5f7b99185aa69bd7456825d</Application>
  <AppVersion>15.0000</AppVersion>
  <Pages>4</Pages>
  <Words>924</Words>
  <Characters>6829</Characters>
  <CharactersWithSpaces>7701</CharactersWithSpaces>
  <Paragraphs>53</Paragraphs>
  <Company>КонсультантПлюс Версия 4025.00.02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2026-01-30T09:44:00Z</dcterms:created>
  <dc:creator>Надежда Николаевна Плотникова</dc:creator>
  <dc:description/>
  <dc:language>ru-RU</dc:language>
  <cp:lastModifiedBy/>
  <cp:lastPrinted>2018-08-08T10:10:00Z</cp:lastPrinted>
  <dcterms:modified xsi:type="dcterms:W3CDTF">2026-10-23T15:01:47Z</dcterms:modified>
  <cp:revision>42</cp:revision>
  <dc:subject/>
  <dc:title>Постановление Правительства Курганской области от 28.08.2024 N 271"Об утверждении Порядка обеспечения протезно-ортопедическими изделиями отдельных категорий граждан в Курганской области"(вместе с "Формой заявления об обеспечении протезно-ортопедическими изделиями", "Формой согласия на обработку персональных данных", "Списком государственных казенных учреждений, подведомственных Департаменту социальной политики Курганской области")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