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4833" w:type="dxa"/>
        <w:jc w:val="left"/>
        <w:tblInd w:w="150" w:type="dxa"/>
        <w:tblLayout w:type="fixed"/>
        <w:tblCellMar>
          <w:top w:w="150" w:type="dxa"/>
          <w:left w:w="150" w:type="dxa"/>
          <w:bottom w:w="150" w:type="dxa"/>
          <w:right w:w="150" w:type="dxa"/>
        </w:tblCellMar>
        <w:tblLook w:firstRow="1" w:noVBand="1" w:lastRow="0" w:firstColumn="1" w:lastColumn="0" w:noHBand="0" w:val="04a0"/>
      </w:tblPr>
      <w:tblGrid>
        <w:gridCol w:w="2650"/>
        <w:gridCol w:w="12182"/>
      </w:tblGrid>
      <w:tr>
        <w:trPr/>
        <w:tc>
          <w:tcPr>
            <w:tcW w:w="2650"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sz w:val="24"/>
                <w:szCs w:val="24"/>
              </w:rPr>
            </w:pPr>
            <w:r>
              <w:rPr>
                <w:rFonts w:eastAsia="Times New Roman" w:cs="Arial" w:ascii="Arial" w:hAnsi="Arial"/>
                <w:b/>
                <w:color w:themeColor="accent4" w:themeShade="80" w:val="403152"/>
                <w:sz w:val="24"/>
                <w:szCs w:val="24"/>
                <w:lang w:eastAsia="ru-RU"/>
              </w:rPr>
              <w:t>Ответственный орган</w:t>
            </w:r>
          </w:p>
        </w:tc>
        <w:tc>
          <w:tcPr>
            <w:tcW w:w="12182" w:type="dxa"/>
            <w:tcBorders>
              <w:top w:val="single" w:sz="6" w:space="0" w:color="EDEDED"/>
              <w:left w:val="single" w:sz="6" w:space="0" w:color="EDEDED"/>
              <w:bottom w:val="single" w:sz="6" w:space="0" w:color="EDEDED"/>
              <w:right w:val="single" w:sz="6" w:space="0" w:color="EDEDED"/>
            </w:tcBorders>
            <w:shd w:color="auto" w:fill="auto" w:val="clear"/>
            <w:tcMar>
              <w:left w:w="142" w:type="dxa"/>
            </w:tcMar>
          </w:tcPr>
          <w:p>
            <w:pPr>
              <w:pStyle w:val="Normal"/>
              <w:widowControl w:val="false"/>
              <w:spacing w:lineRule="auto" w:line="240" w:before="0" w:after="0"/>
              <w:jc w:val="both"/>
              <w:rPr>
                <w:rFonts w:ascii="Arial" w:hAnsi="Arial"/>
                <w:sz w:val="24"/>
                <w:szCs w:val="24"/>
              </w:rPr>
            </w:pPr>
            <w:r>
              <w:rPr>
                <w:rFonts w:cs="Arial" w:ascii="Arial" w:hAnsi="Arial"/>
                <w:sz w:val="24"/>
                <w:szCs w:val="24"/>
                <w:highlight w:val="white"/>
              </w:rPr>
              <w:t>Департамент социальной политики Курганской области</w:t>
            </w:r>
          </w:p>
        </w:tc>
      </w:tr>
      <w:tr>
        <w:trPr>
          <w:trHeight w:val="618" w:hRule="atLeast"/>
        </w:trPr>
        <w:tc>
          <w:tcPr>
            <w:tcW w:w="2650" w:type="dxa"/>
            <w:tcBorders>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sz w:val="24"/>
                <w:szCs w:val="24"/>
              </w:rPr>
            </w:pPr>
            <w:r>
              <w:rPr>
                <w:rFonts w:eastAsia="Times New Roman" w:cs="Arial" w:ascii="Arial" w:hAnsi="Arial"/>
                <w:b/>
                <w:color w:themeColor="accent4" w:themeShade="80" w:val="403152"/>
                <w:sz w:val="24"/>
                <w:szCs w:val="24"/>
                <w:lang w:eastAsia="ru-RU"/>
              </w:rPr>
              <w:t>Наименование услуги</w:t>
            </w:r>
          </w:p>
        </w:tc>
        <w:tc>
          <w:tcPr>
            <w:tcW w:w="12182" w:type="dxa"/>
            <w:tcBorders>
              <w:left w:val="single" w:sz="6" w:space="0" w:color="EDEDED"/>
              <w:bottom w:val="single" w:sz="6" w:space="0" w:color="EDEDED"/>
              <w:right w:val="single" w:sz="6" w:space="0" w:color="EDEDED"/>
            </w:tcBorders>
            <w:shd w:color="auto" w:fill="auto" w:val="clear"/>
            <w:tcMar>
              <w:left w:w="142" w:type="dxa"/>
            </w:tcMar>
          </w:tcPr>
          <w:p>
            <w:pPr>
              <w:pStyle w:val="Normal"/>
              <w:spacing w:before="0" w:after="200"/>
              <w:rPr>
                <w:sz w:val="24"/>
                <w:szCs w:val="24"/>
              </w:rPr>
            </w:pPr>
            <w:r>
              <w:rPr>
                <w:rFonts w:ascii="Arial" w:hAnsi="Arial"/>
                <w:b w:val="false"/>
                <w:i w:val="false"/>
                <w:strike w:val="false"/>
                <w:dstrike w:val="false"/>
                <w:sz w:val="24"/>
                <w:szCs w:val="24"/>
                <w:u w:val="none"/>
              </w:rPr>
              <w:t>Осуществление государственной экспертизы условий труда.</w:t>
            </w:r>
          </w:p>
        </w:tc>
      </w:tr>
      <w:tr>
        <w:trPr/>
        <w:tc>
          <w:tcPr>
            <w:tcW w:w="2650"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sz w:val="24"/>
                <w:szCs w:val="24"/>
              </w:rPr>
            </w:pPr>
            <w:r>
              <w:rPr>
                <w:rFonts w:eastAsia="Times New Roman" w:cs="Arial" w:ascii="Arial" w:hAnsi="Arial"/>
                <w:b/>
                <w:color w:themeColor="accent4" w:themeShade="80" w:val="403152"/>
                <w:sz w:val="24"/>
                <w:szCs w:val="24"/>
                <w:lang w:eastAsia="ru-RU"/>
              </w:rPr>
              <w:t>Получатели услуги</w:t>
            </w:r>
          </w:p>
        </w:tc>
        <w:tc>
          <w:tcPr>
            <w:tcW w:w="12182" w:type="dxa"/>
            <w:tcBorders>
              <w:top w:val="single" w:sz="6" w:space="0" w:color="EDEDED"/>
              <w:left w:val="single" w:sz="6" w:space="0" w:color="EDEDED"/>
              <w:bottom w:val="single" w:sz="6" w:space="0" w:color="EDEDED"/>
              <w:right w:val="single" w:sz="6" w:space="0" w:color="EDEDED"/>
            </w:tcBorders>
            <w:shd w:color="auto" w:fill="auto" w:val="clear"/>
            <w:tcMar>
              <w:left w:w="142" w:type="dxa"/>
            </w:tcMar>
          </w:tcPr>
          <w:p>
            <w:pPr>
              <w:pStyle w:val="Normal"/>
              <w:widowControl w:val="false"/>
              <w:spacing w:before="0" w:after="200"/>
              <w:jc w:val="both"/>
              <w:rPr>
                <w:rFonts w:ascii="Arial" w:hAnsi="Arial"/>
                <w:sz w:val="24"/>
                <w:szCs w:val="24"/>
              </w:rPr>
            </w:pPr>
            <w:r>
              <w:rPr>
                <w:rFonts w:ascii="Arial" w:hAnsi="Arial"/>
                <w:sz w:val="24"/>
                <w:szCs w:val="24"/>
                <w:highlight w:val="white"/>
              </w:rPr>
              <w:t>Физические лица</w:t>
            </w:r>
          </w:p>
        </w:tc>
      </w:tr>
      <w:tr>
        <w:trPr>
          <w:trHeight w:val="760" w:hRule="atLeast"/>
        </w:trPr>
        <w:tc>
          <w:tcPr>
            <w:tcW w:w="2650"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sz w:val="24"/>
                <w:szCs w:val="24"/>
              </w:rPr>
            </w:pPr>
            <w:r>
              <w:rPr>
                <w:rFonts w:eastAsia="Times New Roman" w:cs="Arial" w:ascii="Arial" w:hAnsi="Arial"/>
                <w:b/>
                <w:color w:themeColor="accent4" w:themeShade="80" w:val="403152"/>
                <w:sz w:val="24"/>
                <w:szCs w:val="24"/>
                <w:lang w:eastAsia="ru-RU"/>
              </w:rPr>
              <w:t>Услуга предоставляется</w:t>
            </w:r>
          </w:p>
        </w:tc>
        <w:tc>
          <w:tcPr>
            <w:tcW w:w="12182" w:type="dxa"/>
            <w:tcBorders>
              <w:top w:val="single" w:sz="6" w:space="0" w:color="EDEDED"/>
              <w:left w:val="single" w:sz="6" w:space="0" w:color="EDEDED"/>
              <w:bottom w:val="single" w:sz="6" w:space="0" w:color="EDEDED"/>
              <w:right w:val="single" w:sz="6" w:space="0" w:color="EDEDED"/>
            </w:tcBorders>
            <w:shd w:color="auto" w:fill="auto" w:val="clear"/>
            <w:tcMar>
              <w:left w:w="142" w:type="dxa"/>
            </w:tcMar>
          </w:tcPr>
          <w:p>
            <w:pPr>
              <w:pStyle w:val="Normal"/>
              <w:widowControl w:val="false"/>
              <w:spacing w:before="0" w:after="200"/>
              <w:jc w:val="both"/>
              <w:rPr>
                <w:rFonts w:ascii="Arial" w:hAnsi="Arial"/>
                <w:sz w:val="24"/>
                <w:szCs w:val="24"/>
              </w:rPr>
            </w:pPr>
            <w:r>
              <w:rPr>
                <w:rFonts w:ascii="Arial" w:hAnsi="Arial"/>
                <w:sz w:val="24"/>
                <w:szCs w:val="24"/>
              </w:rPr>
              <w:t xml:space="preserve"> </w:t>
            </w:r>
            <w:r>
              <w:rPr>
                <w:rFonts w:ascii="Arial" w:hAnsi="Arial"/>
                <w:sz w:val="24"/>
                <w:szCs w:val="24"/>
              </w:rPr>
              <w:t>Государственная услуга предоставляется Департаментом социальной политики Курганской области.</w:t>
            </w:r>
          </w:p>
        </w:tc>
      </w:tr>
      <w:tr>
        <w:trPr>
          <w:trHeight w:val="1318" w:hRule="atLeast"/>
        </w:trPr>
        <w:tc>
          <w:tcPr>
            <w:tcW w:w="2650"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sz w:val="24"/>
                <w:szCs w:val="24"/>
              </w:rPr>
            </w:pPr>
            <w:r>
              <w:rPr>
                <w:rFonts w:eastAsia="Times New Roman" w:cs="Arial" w:ascii="Arial" w:hAnsi="Arial"/>
                <w:b/>
                <w:color w:themeColor="accent4" w:themeShade="80" w:val="403152"/>
                <w:sz w:val="24"/>
                <w:szCs w:val="24"/>
                <w:lang w:eastAsia="ru-RU"/>
              </w:rPr>
              <w:t>Заявители</w:t>
            </w:r>
          </w:p>
        </w:tc>
        <w:tc>
          <w:tcPr>
            <w:tcW w:w="12182" w:type="dxa"/>
            <w:tcBorders>
              <w:top w:val="single" w:sz="6" w:space="0" w:color="EDEDED"/>
              <w:left w:val="single" w:sz="6" w:space="0" w:color="EDEDED"/>
              <w:bottom w:val="single" w:sz="6" w:space="0" w:color="EDEDED"/>
              <w:right w:val="single" w:sz="6" w:space="0" w:color="EDEDED"/>
            </w:tcBorders>
            <w:shd w:color="auto" w:fill="auto" w:val="clear"/>
            <w:tcMar>
              <w:left w:w="142" w:type="dxa"/>
            </w:tcMar>
          </w:tcPr>
          <w:p>
            <w:pPr>
              <w:pStyle w:val="Normal"/>
              <w:spacing w:before="0" w:after="200"/>
              <w:ind w:hanging="0" w:left="0"/>
              <w:jc w:val="both"/>
              <w:rPr/>
            </w:pPr>
            <w:r>
              <w:rPr>
                <w:rFonts w:ascii="Arial" w:hAnsi="Arial"/>
                <w:b w:val="false"/>
                <w:i w:val="false"/>
                <w:strike w:val="false"/>
                <w:dstrike w:val="false"/>
                <w:sz w:val="24"/>
                <w:szCs w:val="24"/>
                <w:u w:val="none"/>
              </w:rPr>
              <w:t xml:space="preserve">Заявителями при предоставлении государственной услуги являются физические и юридические лица, указанные в </w:t>
            </w:r>
            <w:r>
              <w:rPr>
                <w:rFonts w:ascii="Arial" w:hAnsi="Arial"/>
                <w:b w:val="false"/>
                <w:i w:val="false"/>
                <w:strike w:val="false"/>
                <w:dstrike w:val="false"/>
                <w:color w:val="111111"/>
                <w:sz w:val="24"/>
                <w:szCs w:val="24"/>
                <w:u w:val="none"/>
              </w:rPr>
              <w:t>статье 213</w:t>
            </w:r>
            <w:r>
              <w:rPr>
                <w:rFonts w:ascii="Arial" w:hAnsi="Arial"/>
                <w:b w:val="false"/>
                <w:i w:val="false"/>
                <w:strike w:val="false"/>
                <w:dstrike w:val="false"/>
                <w:sz w:val="24"/>
                <w:szCs w:val="24"/>
                <w:u w:val="none"/>
              </w:rPr>
              <w:t xml:space="preserve"> Трудового кодекса Российской Федерации: судебные органы, органы исполнительной власти, комиссии по расследованию несчастных случаев, работодатели, объединения работодателей, работники, профессиональные союзы, их объединения, иные уполномоченные работники представительных органов (при наличии таких представительных органов), государственные внебюджетные фонды Российской Федерации, организации, проводящие специальную оценку условий труда (в случае осуществления государственной экспертизы условий труда в целях оценки качества проведения специальной оценки условий труда).</w:t>
            </w:r>
          </w:p>
        </w:tc>
      </w:tr>
      <w:tr>
        <w:trPr>
          <w:trHeight w:val="873" w:hRule="atLeast"/>
        </w:trPr>
        <w:tc>
          <w:tcPr>
            <w:tcW w:w="2650"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sz w:val="24"/>
                <w:szCs w:val="24"/>
              </w:rPr>
            </w:pPr>
            <w:r>
              <w:rPr>
                <w:rFonts w:eastAsia="Times New Roman" w:cs="Arial" w:ascii="Arial" w:hAnsi="Arial"/>
                <w:b/>
                <w:color w:themeColor="accent4" w:themeShade="80" w:val="403152"/>
                <w:sz w:val="24"/>
                <w:szCs w:val="24"/>
                <w:lang w:eastAsia="ru-RU"/>
              </w:rPr>
              <w:t>Обязательные документы</w:t>
            </w:r>
          </w:p>
        </w:tc>
        <w:tc>
          <w:tcPr>
            <w:tcW w:w="12182" w:type="dxa"/>
            <w:tcBorders>
              <w:top w:val="single" w:sz="6" w:space="0" w:color="EDEDED"/>
              <w:left w:val="single" w:sz="6" w:space="0" w:color="EDEDED"/>
              <w:bottom w:val="single" w:sz="6" w:space="0" w:color="EDEDED"/>
              <w:right w:val="single" w:sz="6" w:space="0" w:color="EDEDED"/>
            </w:tcBorders>
            <w:shd w:color="auto" w:fill="auto" w:val="clear"/>
            <w:tcMar>
              <w:left w:w="142" w:type="dxa"/>
            </w:tcMar>
          </w:tcPr>
          <w:p>
            <w:pPr>
              <w:pStyle w:val="Normal"/>
              <w:widowControl w:val="false"/>
              <w:jc w:val="both"/>
              <w:rPr>
                <w:rFonts w:ascii="Arial" w:hAnsi="Arial"/>
              </w:rPr>
            </w:pPr>
            <w:r>
              <w:rPr>
                <w:rFonts w:ascii="Arial" w:hAnsi="Arial"/>
                <w:b/>
                <w:bCs/>
                <w:color w:val="080202"/>
                <w:sz w:val="24"/>
                <w:szCs w:val="24"/>
              </w:rPr>
              <w:t>Исчерпывающий перечень документов, необходимых для предоставления государственной услуги, которые заявитель (работник либо его представитель) должен представить самостоятельно:</w:t>
            </w:r>
          </w:p>
          <w:p>
            <w:pPr>
              <w:pStyle w:val="Normal"/>
              <w:widowControl w:val="false"/>
              <w:jc w:val="both"/>
              <w:rPr>
                <w:rFonts w:ascii="Arial" w:hAnsi="Arial"/>
                <w:sz w:val="24"/>
                <w:szCs w:val="24"/>
              </w:rPr>
            </w:pPr>
            <w:r>
              <w:rPr>
                <w:rFonts w:ascii="Arial" w:hAnsi="Arial"/>
                <w:b w:val="false"/>
                <w:bCs w:val="false"/>
                <w:i w:val="false"/>
                <w:iCs w:val="false"/>
                <w:strike w:val="false"/>
                <w:dstrike w:val="false"/>
                <w:color w:val="080202"/>
                <w:sz w:val="24"/>
                <w:szCs w:val="24"/>
                <w:u w:val="none"/>
              </w:rPr>
              <w:t>-</w:t>
            </w:r>
            <w:r>
              <w:rPr>
                <w:rFonts w:ascii="Arial" w:hAnsi="Arial"/>
                <w:b/>
                <w:bCs/>
                <w:i w:val="false"/>
                <w:strike w:val="false"/>
                <w:dstrike w:val="false"/>
                <w:color w:val="080202"/>
                <w:sz w:val="24"/>
                <w:szCs w:val="24"/>
                <w:u w:val="none"/>
              </w:rPr>
              <w:t xml:space="preserve"> </w:t>
            </w:r>
            <w:r>
              <w:rPr>
                <w:rFonts w:ascii="Arial" w:hAnsi="Arial"/>
                <w:b w:val="false"/>
                <w:i w:val="false"/>
                <w:strike w:val="false"/>
                <w:dstrike w:val="false"/>
                <w:color w:val="000000"/>
                <w:sz w:val="24"/>
                <w:szCs w:val="24"/>
                <w:u w:val="none"/>
              </w:rPr>
              <w:t>Заявление;</w:t>
            </w:r>
          </w:p>
          <w:p>
            <w:pPr>
              <w:pStyle w:val="Normal"/>
              <w:widowControl w:val="false"/>
              <w:jc w:val="both"/>
              <w:rPr>
                <w:rFonts w:ascii="Arial" w:hAnsi="Arial"/>
                <w:sz w:val="24"/>
                <w:szCs w:val="24"/>
              </w:rPr>
            </w:pPr>
            <w:r>
              <w:rPr>
                <w:rFonts w:ascii="Arial" w:hAnsi="Arial"/>
                <w:b w:val="false"/>
                <w:i w:val="false"/>
                <w:strike w:val="false"/>
                <w:dstrike w:val="false"/>
                <w:color w:val="000000"/>
                <w:sz w:val="24"/>
                <w:szCs w:val="24"/>
                <w:u w:val="none"/>
              </w:rPr>
              <w:t xml:space="preserve">- </w:t>
            </w:r>
            <w:r>
              <w:rPr>
                <w:rFonts w:ascii="Arial" w:hAnsi="Arial"/>
                <w:b w:val="false"/>
                <w:i w:val="false"/>
                <w:strike w:val="false"/>
                <w:dstrike w:val="false"/>
                <w:sz w:val="24"/>
                <w:szCs w:val="24"/>
                <w:u w:val="none"/>
              </w:rPr>
              <w:t>Копия документа, удостоверяющего личность заявителя;</w:t>
            </w:r>
          </w:p>
          <w:p>
            <w:pPr>
              <w:pStyle w:val="Normal"/>
              <w:widowControl w:val="false"/>
              <w:jc w:val="both"/>
              <w:rPr>
                <w:rFonts w:ascii="Arial" w:hAnsi="Arial"/>
                <w:sz w:val="24"/>
                <w:szCs w:val="24"/>
              </w:rPr>
            </w:pPr>
            <w:r>
              <w:rPr>
                <w:rFonts w:ascii="Arial" w:hAnsi="Arial"/>
                <w:b w:val="false"/>
                <w:i w:val="false"/>
                <w:strike w:val="false"/>
                <w:dstrike w:val="false"/>
                <w:sz w:val="24"/>
                <w:szCs w:val="24"/>
                <w:u w:val="none"/>
              </w:rPr>
              <w:t>- Копия нотариальной доверенности (в случае обращения представителя заявителя);</w:t>
            </w:r>
          </w:p>
          <w:p>
            <w:pPr>
              <w:pStyle w:val="Normal"/>
              <w:widowControl w:val="false"/>
              <w:jc w:val="both"/>
              <w:rPr>
                <w:rFonts w:ascii="Arial" w:hAnsi="Arial"/>
                <w:b w:val="false"/>
                <w:i w:val="false"/>
                <w:i w:val="false"/>
                <w:strike w:val="false"/>
                <w:dstrike w:val="false"/>
                <w:sz w:val="24"/>
                <w:szCs w:val="24"/>
                <w:u w:val="none"/>
              </w:rPr>
            </w:pPr>
            <w:r>
              <w:rPr>
                <w:rFonts w:ascii="Arial" w:hAnsi="Arial"/>
                <w:b w:val="false"/>
                <w:i w:val="false"/>
                <w:strike w:val="false"/>
                <w:dstrike w:val="false"/>
                <w:sz w:val="24"/>
                <w:szCs w:val="24"/>
                <w:u w:val="none"/>
              </w:rPr>
              <w:t>- Копия квитанции об оплате;</w:t>
            </w:r>
          </w:p>
          <w:p>
            <w:pPr>
              <w:pStyle w:val="Normal"/>
              <w:widowControl w:val="false"/>
              <w:jc w:val="both"/>
              <w:rPr/>
            </w:pPr>
            <w:r>
              <w:rPr>
                <w:rFonts w:ascii="Arial" w:hAnsi="Arial"/>
                <w:b/>
                <w:bCs/>
                <w:color w:val="111111"/>
                <w:sz w:val="24"/>
                <w:szCs w:val="24"/>
                <w:shd w:fill="FFFFFF" w:val="clear"/>
              </w:rPr>
              <w:t>В случае проведения государственной экспертизы условий труда в целях оценки качества проведения специальной оценки условий труда (если заявление подано работодателем)</w:t>
            </w:r>
            <w:r>
              <w:rPr>
                <w:rFonts w:ascii="Arial" w:hAnsi="Arial"/>
                <w:b w:val="false"/>
                <w:bCs/>
                <w:i w:val="false"/>
                <w:strike w:val="false"/>
                <w:dstrike w:val="false"/>
                <w:color w:val="111111"/>
                <w:sz w:val="20"/>
                <w:szCs w:val="24"/>
                <w:u w:val="none"/>
                <w:shd w:fill="FFFFFF" w:val="clear"/>
              </w:rPr>
              <w:t xml:space="preserve"> </w:t>
            </w:r>
            <w:r>
              <w:rPr>
                <w:rFonts w:ascii="Arial" w:hAnsi="Arial"/>
                <w:b/>
                <w:bCs/>
                <w:i w:val="false"/>
                <w:strike w:val="false"/>
                <w:dstrike w:val="false"/>
                <w:sz w:val="24"/>
                <w:szCs w:val="24"/>
                <w:u w:val="none"/>
              </w:rPr>
              <w:t>к заявлению прилагаются следующие документы:</w:t>
            </w:r>
          </w:p>
          <w:p>
            <w:pPr>
              <w:pStyle w:val="Normal"/>
              <w:widowControl w:val="false"/>
              <w:jc w:val="both"/>
              <w:rPr>
                <w:rFonts w:ascii="Arial" w:hAnsi="Arial"/>
                <w:b w:val="false"/>
                <w:bCs w:val="false"/>
                <w:color w:val="111111"/>
                <w:sz w:val="24"/>
                <w:szCs w:val="24"/>
                <w:highlight w:val="none"/>
                <w:shd w:fill="FFFFFF" w:val="clear"/>
              </w:rPr>
            </w:pPr>
            <w:r>
              <w:rPr>
                <w:rFonts w:ascii="Arial" w:hAnsi="Arial"/>
                <w:b w:val="false"/>
                <w:bCs w:val="false"/>
                <w:color w:val="111111"/>
                <w:sz w:val="24"/>
                <w:szCs w:val="24"/>
                <w:shd w:fill="FFFFFF" w:val="clear"/>
              </w:rPr>
              <w:t>- Заявление;</w:t>
            </w:r>
          </w:p>
          <w:p>
            <w:pPr>
              <w:pStyle w:val="Normal"/>
              <w:widowControl w:val="false"/>
              <w:jc w:val="both"/>
              <w:rPr>
                <w:rFonts w:ascii="Arial" w:hAnsi="Arial"/>
                <w:sz w:val="24"/>
                <w:szCs w:val="24"/>
              </w:rPr>
            </w:pPr>
            <w:r>
              <w:rPr>
                <w:rFonts w:ascii="Arial" w:hAnsi="Arial"/>
                <w:b w:val="false"/>
                <w:i w:val="false"/>
                <w:strike w:val="false"/>
                <w:dstrike w:val="false"/>
                <w:sz w:val="24"/>
                <w:szCs w:val="24"/>
                <w:u w:val="none"/>
              </w:rPr>
              <w:t xml:space="preserve">- Копия нотариальной доверенности </w:t>
            </w:r>
            <w:r>
              <w:rPr>
                <w:rFonts w:ascii="Arial" w:hAnsi="Arial"/>
                <w:b w:val="false"/>
                <w:i w:val="false"/>
                <w:strike w:val="false"/>
                <w:dstrike w:val="false"/>
                <w:sz w:val="24"/>
                <w:szCs w:val="24"/>
                <w:u w:val="none"/>
                <w:shd w:fill="FFFF00" w:val="clear"/>
              </w:rPr>
              <w:t>(в случае обращения представителя заявителя)</w:t>
            </w:r>
            <w:r>
              <w:rPr>
                <w:rFonts w:ascii="Arial" w:hAnsi="Arial"/>
                <w:b w:val="false"/>
                <w:i w:val="false"/>
                <w:strike w:val="false"/>
                <w:dstrike w:val="false"/>
                <w:sz w:val="24"/>
                <w:szCs w:val="24"/>
                <w:u w:val="none"/>
              </w:rPr>
              <w:t>;</w:t>
            </w:r>
          </w:p>
          <w:p>
            <w:pPr>
              <w:pStyle w:val="Normal"/>
              <w:widowControl w:val="false"/>
              <w:jc w:val="both"/>
              <w:rPr>
                <w:rFonts w:ascii="Arial" w:hAnsi="Arial"/>
                <w:b w:val="false"/>
                <w:i w:val="false"/>
                <w:i w:val="false"/>
                <w:strike w:val="false"/>
                <w:dstrike w:val="false"/>
                <w:sz w:val="24"/>
                <w:szCs w:val="24"/>
                <w:u w:val="none"/>
              </w:rPr>
            </w:pPr>
            <w:r>
              <w:rPr>
                <w:rFonts w:ascii="Arial" w:hAnsi="Arial"/>
                <w:b w:val="false"/>
                <w:i w:val="false"/>
                <w:strike w:val="false"/>
                <w:dstrike w:val="false"/>
                <w:sz w:val="24"/>
                <w:szCs w:val="24"/>
                <w:u w:val="none"/>
              </w:rPr>
              <w:t>- Копия квитанции об оплате;</w:t>
            </w:r>
          </w:p>
          <w:p>
            <w:pPr>
              <w:pStyle w:val="Normal"/>
              <w:widowControl w:val="false"/>
              <w:jc w:val="both"/>
              <w:rPr/>
            </w:pPr>
            <w:r>
              <w:rPr>
                <w:rFonts w:ascii="Arial" w:hAnsi="Arial"/>
                <w:b w:val="false"/>
                <w:i w:val="false"/>
                <w:strike w:val="false"/>
                <w:dstrike w:val="false"/>
                <w:sz w:val="24"/>
                <w:szCs w:val="24"/>
                <w:u w:val="none"/>
              </w:rPr>
              <w:t xml:space="preserve">- Утвержденный работодателем </w:t>
            </w:r>
            <w:r>
              <w:rPr>
                <w:rFonts w:ascii="Arial" w:hAnsi="Arial"/>
                <w:b w:val="false"/>
                <w:i w:val="false"/>
                <w:strike w:val="false"/>
                <w:dstrike w:val="false"/>
                <w:color w:val="111111"/>
                <w:sz w:val="24"/>
                <w:szCs w:val="24"/>
                <w:u w:val="none"/>
              </w:rPr>
              <w:t>отчет,</w:t>
            </w:r>
            <w:r>
              <w:rPr>
                <w:rFonts w:ascii="Arial" w:hAnsi="Arial"/>
                <w:b w:val="false"/>
                <w:i w:val="false"/>
                <w:strike w:val="false"/>
                <w:dstrike w:val="false"/>
                <w:sz w:val="24"/>
                <w:szCs w:val="24"/>
                <w:u w:val="none"/>
              </w:rPr>
              <w:t xml:space="preserve"> форма отчета утверждена приказом Минтруда России от 21.11.2023 N 817н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r>
              <w:rPr>
                <w:rFonts w:ascii="Arial" w:hAnsi="Arial"/>
                <w:b w:val="false"/>
                <w:i w:val="false"/>
                <w:strike w:val="false"/>
                <w:dstrike w:val="false"/>
                <w:sz w:val="24"/>
                <w:szCs w:val="24"/>
                <w:u w:val="none"/>
                <w:shd w:fill="FFFFFF" w:val="clear"/>
              </w:rPr>
              <w:t xml:space="preserve"> ;</w:t>
            </w:r>
          </w:p>
          <w:p>
            <w:pPr>
              <w:pStyle w:val="Normal"/>
              <w:widowControl w:val="false"/>
              <w:jc w:val="both"/>
              <w:rPr/>
            </w:pPr>
            <w:r>
              <w:rPr>
                <w:rFonts w:ascii="Arial" w:hAnsi="Arial"/>
                <w:b w:val="false"/>
                <w:i w:val="false"/>
                <w:strike w:val="false"/>
                <w:dstrike w:val="false"/>
                <w:sz w:val="24"/>
                <w:szCs w:val="24"/>
                <w:u w:val="none"/>
                <w:shd w:fill="auto" w:val="clear"/>
              </w:rPr>
              <w:t>- П</w:t>
            </w:r>
            <w:r>
              <w:rPr>
                <w:rFonts w:ascii="Arial" w:hAnsi="Arial"/>
                <w:b w:val="false"/>
                <w:i w:val="false"/>
                <w:strike w:val="false"/>
                <w:dstrike w:val="false"/>
                <w:sz w:val="24"/>
                <w:szCs w:val="24"/>
                <w:u w:val="none"/>
              </w:rPr>
              <w:t xml:space="preserve">редписания должностных лиц государственной инспекции труда об устранении нарушений обязательных требований, выявленных в ходе проведения мероприятий по государственному контролю (надзору) за соблюдением требований Федерального </w:t>
            </w:r>
            <w:r>
              <w:rPr>
                <w:rFonts w:ascii="Arial" w:hAnsi="Arial"/>
                <w:b w:val="false"/>
                <w:i w:val="false"/>
                <w:strike w:val="false"/>
                <w:dstrike w:val="false"/>
                <w:color w:val="111111"/>
                <w:sz w:val="24"/>
                <w:szCs w:val="24"/>
                <w:u w:val="none"/>
              </w:rPr>
              <w:t xml:space="preserve">закона </w:t>
            </w:r>
            <w:r>
              <w:rPr>
                <w:rFonts w:ascii="Arial" w:hAnsi="Arial"/>
                <w:b w:val="false"/>
                <w:i w:val="false"/>
                <w:strike w:val="false"/>
                <w:dstrike w:val="false"/>
                <w:sz w:val="24"/>
                <w:szCs w:val="24"/>
                <w:u w:val="none"/>
              </w:rPr>
              <w:t>от 28.12.2013 N 426-ФЗ "О специальной оценке условий труда"</w:t>
            </w:r>
            <w:r>
              <w:rPr>
                <w:rFonts w:ascii="Arial" w:hAnsi="Arial"/>
                <w:b w:val="false"/>
                <w:i w:val="false"/>
                <w:strike w:val="false"/>
                <w:dstrike w:val="false"/>
                <w:sz w:val="24"/>
                <w:szCs w:val="24"/>
                <w:u w:val="none"/>
                <w:shd w:fill="FFFF00" w:val="clear"/>
              </w:rPr>
              <w:t xml:space="preserve"> (при наличии)</w:t>
            </w:r>
            <w:r>
              <w:rPr>
                <w:rFonts w:ascii="Arial" w:hAnsi="Arial"/>
                <w:b w:val="false"/>
                <w:i w:val="false"/>
                <w:strike w:val="false"/>
                <w:dstrike w:val="false"/>
                <w:sz w:val="24"/>
                <w:szCs w:val="24"/>
                <w:u w:val="none"/>
                <w:shd w:fill="auto" w:val="clear"/>
              </w:rPr>
              <w:t>;</w:t>
            </w:r>
          </w:p>
          <w:p>
            <w:pPr>
              <w:pStyle w:val="Normal"/>
              <w:ind w:hanging="0" w:left="0"/>
              <w:jc w:val="left"/>
              <w:rPr>
                <w:rFonts w:ascii="Arial" w:hAnsi="Arial"/>
                <w:b/>
                <w:bCs/>
                <w:i w:val="false"/>
                <w:i w:val="false"/>
                <w:strike w:val="false"/>
                <w:dstrike w:val="false"/>
                <w:sz w:val="24"/>
                <w:szCs w:val="24"/>
                <w:u w:val="none"/>
              </w:rPr>
            </w:pPr>
            <w:r>
              <w:rPr>
                <w:rFonts w:ascii="Arial" w:hAnsi="Arial"/>
                <w:b/>
                <w:bCs/>
                <w:i w:val="false"/>
                <w:strike w:val="false"/>
                <w:dstrike w:val="false"/>
                <w:sz w:val="24"/>
                <w:szCs w:val="24"/>
                <w:u w:val="none"/>
              </w:rPr>
              <w:t>В случае проведения государственной экспертизы условий труда в целях оценки правильности предоставления работникам гарантий и компенсаций за работу с вредными и (или) опасными условиями труда (если заявление подано работодателем) к заявлению прилагаются следующие документы:</w:t>
            </w:r>
          </w:p>
          <w:p>
            <w:pPr>
              <w:pStyle w:val="Normal"/>
              <w:widowControl w:val="false"/>
              <w:spacing w:lineRule="auto" w:line="276"/>
              <w:jc w:val="both"/>
              <w:rPr>
                <w:rFonts w:ascii="Arial" w:hAnsi="Arial"/>
                <w:b w:val="false"/>
                <w:bCs w:val="false"/>
                <w:color w:val="111111"/>
                <w:sz w:val="24"/>
                <w:szCs w:val="24"/>
                <w:highlight w:val="none"/>
                <w:shd w:fill="FFFFFF" w:val="clear"/>
              </w:rPr>
            </w:pPr>
            <w:r>
              <w:rPr>
                <w:rFonts w:ascii="Arial" w:hAnsi="Arial"/>
                <w:b w:val="false"/>
                <w:bCs w:val="false"/>
                <w:color w:val="111111"/>
                <w:sz w:val="24"/>
                <w:szCs w:val="24"/>
                <w:shd w:fill="FFFFFF" w:val="clear"/>
              </w:rPr>
              <w:t>- Заявление;</w:t>
            </w:r>
          </w:p>
          <w:p>
            <w:pPr>
              <w:pStyle w:val="Normal"/>
              <w:widowControl w:val="false"/>
              <w:spacing w:lineRule="auto" w:line="276"/>
              <w:jc w:val="both"/>
              <w:rPr>
                <w:sz w:val="24"/>
                <w:szCs w:val="24"/>
              </w:rPr>
            </w:pPr>
            <w:r>
              <w:rPr>
                <w:rFonts w:ascii="Arial" w:hAnsi="Arial"/>
                <w:b w:val="false"/>
                <w:bCs w:val="false"/>
                <w:i w:val="false"/>
                <w:strike w:val="false"/>
                <w:dstrike w:val="false"/>
                <w:color w:val="111111"/>
                <w:sz w:val="24"/>
                <w:szCs w:val="24"/>
                <w:u w:val="none"/>
                <w:shd w:fill="FFFFFF" w:val="clear"/>
              </w:rPr>
              <w:t>-</w:t>
            </w:r>
            <w:r>
              <w:rPr>
                <w:rFonts w:ascii="Arial" w:hAnsi="Arial"/>
                <w:b w:val="false"/>
                <w:i w:val="false"/>
                <w:strike w:val="false"/>
                <w:dstrike w:val="false"/>
                <w:sz w:val="24"/>
                <w:szCs w:val="24"/>
                <w:u w:val="none"/>
              </w:rPr>
              <w:t xml:space="preserve"> Отчет;</w:t>
            </w:r>
          </w:p>
          <w:p>
            <w:pPr>
              <w:pStyle w:val="Normal"/>
              <w:widowControl w:val="false"/>
              <w:spacing w:lineRule="auto" w:line="276"/>
              <w:jc w:val="both"/>
              <w:rPr>
                <w:sz w:val="24"/>
                <w:szCs w:val="24"/>
              </w:rPr>
            </w:pPr>
            <w:r>
              <w:rPr>
                <w:rFonts w:ascii="Arial" w:hAnsi="Arial"/>
                <w:b w:val="false"/>
                <w:i w:val="false"/>
                <w:strike w:val="false"/>
                <w:dstrike w:val="false"/>
                <w:sz w:val="24"/>
                <w:szCs w:val="24"/>
                <w:u w:val="none"/>
              </w:rPr>
              <w:t xml:space="preserve">- Иные документы, содержащие результаты исследований (испытаний) и измерений вредных и (или) опасных факторов производственной среды и трудового процесса на рабочих местах </w:t>
            </w:r>
            <w:r>
              <w:rPr>
                <w:rFonts w:ascii="Arial" w:hAnsi="Arial"/>
                <w:b w:val="false"/>
                <w:i w:val="false"/>
                <w:strike w:val="false"/>
                <w:dstrike w:val="false"/>
                <w:sz w:val="24"/>
                <w:szCs w:val="24"/>
                <w:u w:val="none"/>
                <w:shd w:fill="FFFF00" w:val="clear"/>
              </w:rPr>
              <w:t>(при наличии)</w:t>
            </w:r>
            <w:r>
              <w:rPr>
                <w:rFonts w:ascii="Arial" w:hAnsi="Arial"/>
                <w:b w:val="false"/>
                <w:i w:val="false"/>
                <w:strike w:val="false"/>
                <w:dstrike w:val="false"/>
                <w:sz w:val="24"/>
                <w:szCs w:val="24"/>
                <w:u w:val="none"/>
              </w:rPr>
              <w:t>;</w:t>
            </w:r>
          </w:p>
          <w:p>
            <w:pPr>
              <w:pStyle w:val="Normal"/>
              <w:widowControl w:val="false"/>
              <w:spacing w:lineRule="auto" w:line="276"/>
              <w:jc w:val="both"/>
              <w:rPr>
                <w:rFonts w:ascii="Arial" w:hAnsi="Arial"/>
                <w:b w:val="false"/>
                <w:i w:val="false"/>
                <w:i w:val="false"/>
                <w:strike w:val="false"/>
                <w:dstrike w:val="false"/>
                <w:sz w:val="24"/>
                <w:szCs w:val="24"/>
                <w:u w:val="none"/>
              </w:rPr>
            </w:pPr>
            <w:r>
              <w:rPr>
                <w:rFonts w:ascii="Arial" w:hAnsi="Arial"/>
                <w:b w:val="false"/>
                <w:i w:val="false"/>
                <w:strike w:val="false"/>
                <w:dstrike w:val="false"/>
                <w:sz w:val="24"/>
                <w:szCs w:val="24"/>
                <w:u w:val="none"/>
              </w:rPr>
              <w:t xml:space="preserve">- Коллективный договор </w:t>
            </w:r>
            <w:r>
              <w:rPr>
                <w:rFonts w:ascii="Arial" w:hAnsi="Arial"/>
                <w:b w:val="false"/>
                <w:i w:val="false"/>
                <w:strike w:val="false"/>
                <w:dstrike w:val="false"/>
                <w:sz w:val="24"/>
                <w:szCs w:val="24"/>
                <w:u w:val="none"/>
                <w:shd w:fill="FFFF00" w:val="clear"/>
              </w:rPr>
              <w:t>(при наличии)</w:t>
            </w:r>
            <w:r>
              <w:rPr>
                <w:rFonts w:ascii="Arial" w:hAnsi="Arial"/>
                <w:b w:val="false"/>
                <w:i w:val="false"/>
                <w:strike w:val="false"/>
                <w:dstrike w:val="false"/>
                <w:sz w:val="24"/>
                <w:szCs w:val="24"/>
                <w:u w:val="none"/>
              </w:rPr>
              <w:t>, трудовой договор (трудовые договоры), локальные нормативные акты, устанавливающие обязательства работодателя по соблюдению прав работников на безопасные условия труда, а также на предоставление гарантий и компенсаций в связи с работой во вредных и (или) опасных условиях труда;</w:t>
            </w:r>
          </w:p>
          <w:p>
            <w:pPr>
              <w:pStyle w:val="Normal"/>
              <w:spacing w:lineRule="auto" w:line="276"/>
              <w:ind w:hanging="0" w:left="0"/>
              <w:jc w:val="left"/>
              <w:rPr>
                <w:sz w:val="24"/>
                <w:szCs w:val="24"/>
              </w:rPr>
            </w:pPr>
            <w:r>
              <w:rPr>
                <w:rFonts w:ascii="Arial" w:hAnsi="Arial"/>
                <w:b w:val="false"/>
                <w:i w:val="false"/>
                <w:strike w:val="false"/>
                <w:dstrike w:val="false"/>
                <w:sz w:val="24"/>
                <w:szCs w:val="24"/>
                <w:u w:val="none"/>
              </w:rPr>
              <w:t xml:space="preserve">- Положение о системе оплаты труда работников </w:t>
            </w:r>
            <w:r>
              <w:rPr>
                <w:rFonts w:ascii="Arial" w:hAnsi="Arial"/>
                <w:b w:val="false"/>
                <w:i w:val="false"/>
                <w:strike w:val="false"/>
                <w:dstrike w:val="false"/>
                <w:sz w:val="24"/>
                <w:szCs w:val="24"/>
                <w:u w:val="none"/>
                <w:shd w:fill="FFFF00" w:val="clear"/>
              </w:rPr>
              <w:t>(при наличии)</w:t>
            </w:r>
            <w:r>
              <w:rPr>
                <w:rFonts w:ascii="Arial" w:hAnsi="Arial"/>
                <w:b w:val="false"/>
                <w:i w:val="false"/>
                <w:strike w:val="false"/>
                <w:dstrike w:val="false"/>
                <w:sz w:val="24"/>
                <w:szCs w:val="24"/>
                <w:u w:val="none"/>
              </w:rPr>
              <w:t>;</w:t>
            </w:r>
          </w:p>
          <w:p>
            <w:pPr>
              <w:pStyle w:val="Normal"/>
              <w:spacing w:lineRule="auto" w:line="276"/>
              <w:ind w:hanging="0" w:left="0"/>
              <w:jc w:val="left"/>
              <w:rPr>
                <w:sz w:val="24"/>
                <w:szCs w:val="24"/>
              </w:rPr>
            </w:pPr>
            <w:r>
              <w:rPr>
                <w:rFonts w:ascii="Arial" w:hAnsi="Arial"/>
                <w:b w:val="false"/>
                <w:i w:val="false"/>
                <w:strike w:val="false"/>
                <w:dstrike w:val="false"/>
                <w:sz w:val="24"/>
                <w:szCs w:val="24"/>
                <w:u w:val="none"/>
              </w:rPr>
              <w:t>- Локальные нормативные акты работодателя, устанавливающие условия и объемы предоставляемых гарантий и компенсаций работникам за работу с вредными и (или) опасными условиями труда, в том числе продолжительность ежегодного дополнительного оплачиваемого отпуска, сокращенную продолжительность рабочего времени, размер повышения оплаты труда;</w:t>
            </w:r>
          </w:p>
          <w:p>
            <w:pPr>
              <w:pStyle w:val="Normal"/>
              <w:spacing w:lineRule="auto" w:line="276"/>
              <w:ind w:hanging="0" w:left="0"/>
              <w:jc w:val="left"/>
              <w:rPr>
                <w:sz w:val="24"/>
                <w:szCs w:val="24"/>
              </w:rPr>
            </w:pPr>
            <w:r>
              <w:rPr>
                <w:rFonts w:ascii="Arial" w:hAnsi="Arial"/>
                <w:b w:val="false"/>
                <w:i w:val="false"/>
                <w:strike w:val="false"/>
                <w:dstrike w:val="false"/>
                <w:sz w:val="24"/>
                <w:szCs w:val="24"/>
                <w:u w:val="none"/>
              </w:rPr>
              <w:t>- Список работников, подлежащих периодическим и (или) предварительным медицинским осмотрам;</w:t>
            </w:r>
          </w:p>
          <w:p>
            <w:pPr>
              <w:pStyle w:val="Normal"/>
              <w:spacing w:lineRule="auto" w:line="276"/>
              <w:ind w:hanging="0" w:left="0"/>
              <w:jc w:val="left"/>
              <w:rPr>
                <w:sz w:val="24"/>
                <w:szCs w:val="24"/>
              </w:rPr>
            </w:pPr>
            <w:r>
              <w:rPr>
                <w:rFonts w:ascii="Arial" w:hAnsi="Arial"/>
                <w:b w:val="false"/>
                <w:i w:val="false"/>
                <w:strike w:val="false"/>
                <w:dstrike w:val="false"/>
                <w:sz w:val="24"/>
                <w:szCs w:val="24"/>
                <w:u w:val="none"/>
              </w:rPr>
              <w:t xml:space="preserve"> </w:t>
            </w:r>
            <w:r>
              <w:rPr>
                <w:rFonts w:ascii="Arial" w:hAnsi="Arial"/>
                <w:b w:val="false"/>
                <w:i w:val="false"/>
                <w:strike w:val="false"/>
                <w:dstrike w:val="false"/>
                <w:sz w:val="24"/>
                <w:szCs w:val="24"/>
                <w:u w:val="none"/>
              </w:rPr>
              <w:t>-Копия заключительного акта о результатах проведенных периодических медицинских осмотров работников за последний год.</w:t>
            </w:r>
          </w:p>
          <w:p>
            <w:pPr>
              <w:pStyle w:val="Normal"/>
              <w:ind w:hanging="0" w:left="0"/>
              <w:jc w:val="left"/>
              <w:rPr>
                <w:rFonts w:ascii="Arial" w:hAnsi="Arial"/>
                <w:b/>
                <w:bCs/>
                <w:i w:val="false"/>
                <w:i w:val="false"/>
                <w:strike w:val="false"/>
                <w:dstrike w:val="false"/>
                <w:sz w:val="24"/>
                <w:szCs w:val="24"/>
                <w:u w:val="none"/>
              </w:rPr>
            </w:pPr>
            <w:r>
              <w:rPr>
                <w:rFonts w:ascii="Arial" w:hAnsi="Arial"/>
                <w:b/>
                <w:bCs/>
                <w:i w:val="false"/>
                <w:strike w:val="false"/>
                <w:dstrike w:val="false"/>
                <w:sz w:val="24"/>
                <w:szCs w:val="24"/>
                <w:u w:val="none"/>
              </w:rPr>
              <w:t>В случае проведения государственной экспертизы условий труда в целях оценки фактических условий труда работников (если заявление подано работодателем) к заявлению прилагаются следующие документы:</w:t>
            </w:r>
          </w:p>
          <w:p>
            <w:pPr>
              <w:pStyle w:val="Normal"/>
              <w:spacing w:lineRule="auto" w:line="240"/>
              <w:ind w:hanging="0" w:left="0"/>
              <w:jc w:val="left"/>
              <w:rPr>
                <w:rFonts w:ascii="Arial" w:hAnsi="Arial"/>
                <w:b w:val="false"/>
                <w:bCs w:val="false"/>
                <w:color w:val="111111"/>
                <w:sz w:val="24"/>
                <w:szCs w:val="24"/>
                <w:highlight w:val="none"/>
                <w:shd w:fill="FFFFFF" w:val="clear"/>
              </w:rPr>
            </w:pPr>
            <w:r>
              <w:rPr>
                <w:rFonts w:ascii="Arial" w:hAnsi="Arial"/>
                <w:b w:val="false"/>
                <w:bCs w:val="false"/>
                <w:color w:val="111111"/>
                <w:sz w:val="24"/>
                <w:szCs w:val="24"/>
                <w:shd w:fill="FFFFFF" w:val="clear"/>
              </w:rPr>
              <w:t>- Заявление;</w:t>
            </w:r>
          </w:p>
          <w:p>
            <w:pPr>
              <w:pStyle w:val="Normal"/>
              <w:spacing w:lineRule="auto" w:line="240"/>
              <w:ind w:hanging="0" w:left="0"/>
              <w:jc w:val="left"/>
              <w:rPr>
                <w:rFonts w:ascii="Arial" w:hAnsi="Arial"/>
                <w:b w:val="false"/>
                <w:i w:val="false"/>
                <w:i w:val="false"/>
                <w:strike w:val="false"/>
                <w:dstrike w:val="false"/>
                <w:sz w:val="24"/>
                <w:szCs w:val="24"/>
                <w:u w:val="none"/>
              </w:rPr>
            </w:pPr>
            <w:r>
              <w:rPr>
                <w:rFonts w:ascii="Arial" w:hAnsi="Arial"/>
                <w:b w:val="false"/>
                <w:bCs w:val="false"/>
                <w:i w:val="false"/>
                <w:strike w:val="false"/>
                <w:dstrike w:val="false"/>
                <w:color w:val="111111"/>
                <w:sz w:val="24"/>
                <w:szCs w:val="24"/>
                <w:u w:val="none"/>
                <w:shd w:fill="FFFFFF" w:val="clear"/>
              </w:rPr>
              <w:t>-О</w:t>
            </w:r>
            <w:r>
              <w:rPr>
                <w:rFonts w:ascii="Arial" w:hAnsi="Arial"/>
                <w:b w:val="false"/>
                <w:i w:val="false"/>
                <w:strike w:val="false"/>
                <w:dstrike w:val="false"/>
                <w:sz w:val="24"/>
                <w:szCs w:val="24"/>
                <w:u w:val="none"/>
              </w:rPr>
              <w:t>тчет;</w:t>
            </w:r>
          </w:p>
          <w:p>
            <w:pPr>
              <w:pStyle w:val="Normal"/>
              <w:spacing w:lineRule="auto" w:line="240"/>
              <w:ind w:hanging="0" w:left="0"/>
              <w:jc w:val="left"/>
              <w:rPr>
                <w:sz w:val="24"/>
                <w:szCs w:val="24"/>
              </w:rPr>
            </w:pPr>
            <w:r>
              <w:rPr>
                <w:rFonts w:ascii="Arial" w:hAnsi="Arial"/>
                <w:b w:val="false"/>
                <w:i w:val="false"/>
                <w:strike w:val="false"/>
                <w:dstrike w:val="false"/>
                <w:sz w:val="24"/>
                <w:szCs w:val="24"/>
                <w:u w:val="none"/>
              </w:rPr>
              <w:t>- Иные документы, содержащие результаты исследований (испытаний) и измерений вредных и (или) опасных факторов производственной среды и трудового процесса на рабочих местах (при наличии);</w:t>
            </w:r>
          </w:p>
          <w:p>
            <w:pPr>
              <w:pStyle w:val="Normal"/>
              <w:spacing w:lineRule="auto" w:line="240"/>
              <w:ind w:hanging="0" w:left="0"/>
              <w:jc w:val="left"/>
              <w:rPr>
                <w:sz w:val="24"/>
                <w:szCs w:val="24"/>
              </w:rPr>
            </w:pPr>
            <w:r>
              <w:rPr>
                <w:rFonts w:ascii="Arial" w:hAnsi="Arial"/>
                <w:b w:val="false"/>
                <w:i w:val="false"/>
                <w:strike w:val="false"/>
                <w:dstrike w:val="false"/>
                <w:sz w:val="24"/>
                <w:szCs w:val="24"/>
                <w:u w:val="none"/>
              </w:rPr>
              <w:t>- Коллективный договор (при наличии), трудовой договор (трудовые договоры), локальные нормативные акты, устанавливающие условия труда работника (работников), включая режимы труда и отдыха;</w:t>
            </w:r>
          </w:p>
          <w:p>
            <w:pPr>
              <w:pStyle w:val="Normal"/>
              <w:spacing w:lineRule="auto" w:line="240" w:before="0" w:after="200"/>
              <w:ind w:hanging="0" w:left="0"/>
              <w:jc w:val="left"/>
              <w:rPr>
                <w:sz w:val="24"/>
                <w:szCs w:val="24"/>
              </w:rPr>
            </w:pPr>
            <w:r>
              <w:rPr>
                <w:rFonts w:ascii="Arial" w:hAnsi="Arial"/>
                <w:b w:val="false"/>
                <w:i w:val="false"/>
                <w:strike w:val="false"/>
                <w:dstrike w:val="false"/>
                <w:sz w:val="24"/>
                <w:szCs w:val="24"/>
                <w:u w:val="none"/>
              </w:rPr>
              <w:t xml:space="preserve">- Предписания должностных лиц государственной инспекции труда об устранении нарушений обязательных требований, выявленных в ходе проведения мероприятий по государственному контролю (надзору) в установленной сфере деятельности </w:t>
            </w:r>
            <w:r>
              <w:rPr>
                <w:rFonts w:ascii="Arial" w:hAnsi="Arial"/>
                <w:b w:val="false"/>
                <w:i w:val="false"/>
                <w:strike w:val="false"/>
                <w:dstrike w:val="false"/>
                <w:sz w:val="24"/>
                <w:szCs w:val="24"/>
                <w:u w:val="none"/>
                <w:shd w:fill="FFFF00" w:val="clear"/>
              </w:rPr>
              <w:t>(при наличии).</w:t>
            </w:r>
          </w:p>
        </w:tc>
      </w:tr>
      <w:tr>
        <w:trPr/>
        <w:tc>
          <w:tcPr>
            <w:tcW w:w="2650"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sz w:val="24"/>
                <w:szCs w:val="24"/>
              </w:rPr>
            </w:pPr>
            <w:r>
              <w:rPr>
                <w:rFonts w:eastAsia="Times New Roman" w:cs="Arial" w:ascii="Arial" w:hAnsi="Arial"/>
                <w:b/>
                <w:color w:themeColor="accent4" w:themeShade="80" w:val="403152"/>
                <w:sz w:val="24"/>
                <w:szCs w:val="24"/>
                <w:lang w:eastAsia="ru-RU"/>
              </w:rPr>
              <w:t>Необязательные документы</w:t>
            </w:r>
          </w:p>
        </w:tc>
        <w:tc>
          <w:tcPr>
            <w:tcW w:w="12182" w:type="dxa"/>
            <w:tcBorders>
              <w:top w:val="single" w:sz="6" w:space="0" w:color="EDEDED"/>
              <w:left w:val="single" w:sz="6" w:space="0" w:color="EDEDED"/>
              <w:bottom w:val="single" w:sz="6" w:space="0" w:color="EDEDED"/>
              <w:right w:val="single" w:sz="6" w:space="0" w:color="EDEDED"/>
            </w:tcBorders>
            <w:shd w:color="auto" w:fill="auto" w:val="clear"/>
            <w:tcMar>
              <w:left w:w="142" w:type="dxa"/>
            </w:tcMar>
          </w:tcPr>
          <w:p>
            <w:pPr>
              <w:pStyle w:val="Normal"/>
              <w:widowControl w:val="false"/>
              <w:spacing w:before="0" w:after="200"/>
              <w:rPr>
                <w:rFonts w:ascii="Arial" w:hAnsi="Arial"/>
                <w:sz w:val="24"/>
                <w:szCs w:val="24"/>
              </w:rPr>
            </w:pPr>
            <w:r>
              <w:rPr>
                <w:rFonts w:ascii="Arial" w:hAnsi="Arial"/>
                <w:sz w:val="24"/>
                <w:szCs w:val="24"/>
              </w:rPr>
            </w:r>
          </w:p>
        </w:tc>
      </w:tr>
      <w:tr>
        <w:trPr/>
        <w:tc>
          <w:tcPr>
            <w:tcW w:w="2650"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sz w:val="24"/>
                <w:szCs w:val="24"/>
              </w:rPr>
            </w:pPr>
            <w:r>
              <w:rPr>
                <w:rFonts w:eastAsia="Times New Roman" w:cs="Arial" w:ascii="Arial" w:hAnsi="Arial"/>
                <w:b/>
                <w:color w:themeColor="accent4" w:themeShade="80" w:val="403152"/>
                <w:sz w:val="24"/>
                <w:szCs w:val="24"/>
                <w:lang w:eastAsia="ru-RU"/>
              </w:rPr>
              <w:t>Результат</w:t>
            </w:r>
          </w:p>
        </w:tc>
        <w:tc>
          <w:tcPr>
            <w:tcW w:w="12182" w:type="dxa"/>
            <w:tcBorders>
              <w:top w:val="single" w:sz="6" w:space="0" w:color="EDEDED"/>
              <w:left w:val="single" w:sz="6" w:space="0" w:color="EDEDED"/>
              <w:bottom w:val="single" w:sz="6" w:space="0" w:color="EDEDED"/>
              <w:right w:val="single" w:sz="6" w:space="0" w:color="EDEDED"/>
            </w:tcBorders>
            <w:shd w:color="auto" w:fill="auto" w:val="clear"/>
            <w:tcMar>
              <w:left w:w="142" w:type="dxa"/>
            </w:tcMar>
          </w:tcPr>
          <w:p>
            <w:pPr>
              <w:pStyle w:val="Normal"/>
              <w:spacing w:before="0" w:after="200"/>
              <w:ind w:hanging="0" w:left="0"/>
              <w:jc w:val="both"/>
              <w:rPr>
                <w:sz w:val="24"/>
                <w:szCs w:val="24"/>
              </w:rPr>
            </w:pPr>
            <w:r>
              <w:rPr>
                <w:rFonts w:ascii="Arial" w:hAnsi="Arial"/>
                <w:b w:val="false"/>
                <w:i w:val="false"/>
                <w:strike w:val="false"/>
                <w:dstrike w:val="false"/>
                <w:sz w:val="24"/>
                <w:szCs w:val="24"/>
                <w:u w:val="none"/>
              </w:rPr>
              <w:t>Результатом предоставления государственной услуги является заключение или отказ в предоставлении государственной услуги.</w:t>
            </w:r>
          </w:p>
        </w:tc>
      </w:tr>
      <w:tr>
        <w:trPr/>
        <w:tc>
          <w:tcPr>
            <w:tcW w:w="2650"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sz w:val="24"/>
                <w:szCs w:val="24"/>
              </w:rPr>
            </w:pPr>
            <w:r>
              <w:rPr>
                <w:rFonts w:eastAsia="Times New Roman" w:cs="Arial" w:ascii="Arial" w:hAnsi="Arial"/>
                <w:b/>
                <w:color w:themeColor="accent4" w:themeShade="80" w:val="403152"/>
                <w:sz w:val="24"/>
                <w:szCs w:val="24"/>
                <w:lang w:eastAsia="ru-RU"/>
              </w:rPr>
              <w:t>Срок предоставления услуги</w:t>
            </w:r>
          </w:p>
        </w:tc>
        <w:tc>
          <w:tcPr>
            <w:tcW w:w="12182" w:type="dxa"/>
            <w:tcBorders>
              <w:top w:val="single" w:sz="6" w:space="0" w:color="EDEDED"/>
              <w:left w:val="single" w:sz="6" w:space="0" w:color="EDEDED"/>
              <w:bottom w:val="single" w:sz="6" w:space="0" w:color="EDEDED"/>
              <w:right w:val="single" w:sz="6" w:space="0" w:color="EDEDED"/>
            </w:tcBorders>
            <w:shd w:color="auto" w:fill="auto" w:val="clear"/>
            <w:tcMar>
              <w:left w:w="142" w:type="dxa"/>
            </w:tcMar>
          </w:tcPr>
          <w:p>
            <w:pPr>
              <w:pStyle w:val="Normal"/>
              <w:widowControl w:val="false"/>
              <w:spacing w:before="0" w:after="200"/>
              <w:jc w:val="both"/>
              <w:rPr>
                <w:rFonts w:ascii="Arial" w:hAnsi="Arial"/>
                <w:sz w:val="24"/>
                <w:szCs w:val="24"/>
              </w:rPr>
            </w:pPr>
            <w:r>
              <w:rPr>
                <w:rFonts w:ascii="Arial" w:hAnsi="Arial"/>
                <w:sz w:val="24"/>
                <w:szCs w:val="24"/>
              </w:rPr>
              <w:t>30 р.д.</w:t>
            </w:r>
          </w:p>
        </w:tc>
      </w:tr>
      <w:tr>
        <w:trPr/>
        <w:tc>
          <w:tcPr>
            <w:tcW w:w="2650"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sz w:val="24"/>
                <w:szCs w:val="24"/>
              </w:rPr>
            </w:pPr>
            <w:r>
              <w:rPr>
                <w:rFonts w:eastAsia="Times New Roman" w:cs="Arial" w:ascii="Arial" w:hAnsi="Arial"/>
                <w:b/>
                <w:color w:themeColor="accent4" w:themeShade="80" w:val="403152"/>
                <w:sz w:val="24"/>
                <w:szCs w:val="24"/>
                <w:lang w:eastAsia="ru-RU"/>
              </w:rPr>
              <w:t>Основания для отказа в приеме заявления</w:t>
            </w:r>
          </w:p>
        </w:tc>
        <w:tc>
          <w:tcPr>
            <w:tcW w:w="12182" w:type="dxa"/>
            <w:tcBorders>
              <w:top w:val="single" w:sz="6" w:space="0" w:color="EDEDED"/>
              <w:left w:val="single" w:sz="6" w:space="0" w:color="EDEDED"/>
              <w:bottom w:val="single" w:sz="6" w:space="0" w:color="EDEDED"/>
              <w:right w:val="single" w:sz="6" w:space="0" w:color="EDEDED"/>
            </w:tcBorders>
            <w:shd w:color="auto" w:fill="auto" w:val="clear"/>
            <w:tcMar>
              <w:left w:w="142" w:type="dxa"/>
            </w:tcMar>
          </w:tcPr>
          <w:p>
            <w:pPr>
              <w:pStyle w:val="ListParagraph"/>
              <w:widowControl w:val="false"/>
              <w:spacing w:lineRule="auto" w:line="240" w:before="0" w:after="0"/>
              <w:ind w:left="0"/>
              <w:contextualSpacing/>
              <w:jc w:val="both"/>
              <w:rPr>
                <w:rFonts w:ascii="Arial" w:hAnsi="Arial"/>
                <w:sz w:val="24"/>
                <w:szCs w:val="24"/>
              </w:rPr>
            </w:pPr>
            <w:r>
              <w:rPr>
                <w:rFonts w:eastAsia="Times New Roman" w:cs="Arial" w:ascii="Arial" w:hAnsi="Arial"/>
                <w:color w:val="000000"/>
                <w:sz w:val="24"/>
                <w:szCs w:val="24"/>
                <w:highlight w:val="white"/>
                <w:lang w:eastAsia="ru-RU"/>
              </w:rPr>
              <w:t>отсутствуют</w:t>
            </w:r>
          </w:p>
        </w:tc>
      </w:tr>
      <w:tr>
        <w:trPr/>
        <w:tc>
          <w:tcPr>
            <w:tcW w:w="2650"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sz w:val="24"/>
                <w:szCs w:val="24"/>
              </w:rPr>
            </w:pPr>
            <w:r>
              <w:rPr>
                <w:rFonts w:eastAsia="Times New Roman" w:cs="Arial" w:ascii="Arial" w:hAnsi="Arial"/>
                <w:b/>
                <w:color w:themeColor="accent4" w:themeShade="80" w:val="403152"/>
                <w:sz w:val="24"/>
                <w:szCs w:val="24"/>
                <w:lang w:eastAsia="ru-RU"/>
              </w:rPr>
              <w:t>Стоимость</w:t>
            </w:r>
          </w:p>
        </w:tc>
        <w:tc>
          <w:tcPr>
            <w:tcW w:w="12182" w:type="dxa"/>
            <w:tcBorders>
              <w:top w:val="single" w:sz="6" w:space="0" w:color="EDEDED"/>
              <w:left w:val="single" w:sz="6" w:space="0" w:color="EDEDED"/>
              <w:bottom w:val="single" w:sz="6" w:space="0" w:color="EDEDED"/>
              <w:right w:val="single" w:sz="6" w:space="0" w:color="EDEDED"/>
            </w:tcBorders>
            <w:shd w:color="auto" w:fill="auto" w:val="clear"/>
            <w:tcMar>
              <w:left w:w="142" w:type="dxa"/>
            </w:tcMar>
          </w:tcPr>
          <w:p>
            <w:pPr>
              <w:pStyle w:val="Normal"/>
              <w:widowControl w:val="false"/>
              <w:spacing w:lineRule="auto" w:line="240" w:before="0" w:after="0"/>
              <w:jc w:val="both"/>
              <w:rPr>
                <w:rFonts w:ascii="Arial" w:hAnsi="Arial"/>
                <w:sz w:val="24"/>
                <w:szCs w:val="24"/>
              </w:rPr>
            </w:pPr>
            <w:r>
              <w:rPr>
                <w:rFonts w:eastAsia="Times New Roman" w:cs="Arial" w:ascii="Arial" w:hAnsi="Arial"/>
                <w:color w:val="000000"/>
                <w:sz w:val="24"/>
                <w:szCs w:val="24"/>
                <w:highlight w:val="white"/>
                <w:lang w:eastAsia="ru-RU"/>
              </w:rPr>
              <w:t>бесплатно</w:t>
            </w:r>
          </w:p>
        </w:tc>
      </w:tr>
      <w:tr>
        <w:trPr>
          <w:trHeight w:val="1653" w:hRule="atLeast"/>
        </w:trPr>
        <w:tc>
          <w:tcPr>
            <w:tcW w:w="2650"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sz w:val="24"/>
                <w:szCs w:val="24"/>
              </w:rPr>
            </w:pPr>
            <w:r>
              <w:rPr>
                <w:rFonts w:eastAsia="Times New Roman" w:cs="Arial" w:ascii="Arial" w:hAnsi="Arial"/>
                <w:b/>
                <w:color w:themeColor="accent4" w:themeShade="80" w:val="403152"/>
                <w:sz w:val="24"/>
                <w:szCs w:val="24"/>
                <w:lang w:eastAsia="ru-RU"/>
              </w:rPr>
              <w:t>Иные требования, учитывающие особенности предоставления государственной услуги через МФЦ</w:t>
            </w:r>
          </w:p>
        </w:tc>
        <w:tc>
          <w:tcPr>
            <w:tcW w:w="12182" w:type="dxa"/>
            <w:tcBorders>
              <w:top w:val="single" w:sz="6" w:space="0" w:color="EDEDED"/>
              <w:left w:val="single" w:sz="6" w:space="0" w:color="EDEDED"/>
              <w:bottom w:val="single" w:sz="6" w:space="0" w:color="EDEDED"/>
              <w:right w:val="single" w:sz="6" w:space="0" w:color="EDEDED"/>
            </w:tcBorders>
            <w:shd w:color="auto" w:fill="auto" w:val="clear"/>
            <w:tcMar>
              <w:left w:w="142" w:type="dxa"/>
            </w:tcMar>
          </w:tcPr>
          <w:p>
            <w:pPr>
              <w:pStyle w:val="Normal"/>
              <w:widowControl w:val="false"/>
              <w:spacing w:before="0" w:after="200"/>
              <w:jc w:val="both"/>
              <w:rPr>
                <w:rFonts w:ascii="Arial" w:hAnsi="Arial"/>
                <w:sz w:val="24"/>
                <w:szCs w:val="24"/>
              </w:rPr>
            </w:pPr>
            <w:r>
              <w:rPr>
                <w:rFonts w:ascii="Arial" w:hAnsi="Arial"/>
                <w:sz w:val="24"/>
                <w:szCs w:val="24"/>
              </w:rPr>
            </w:r>
          </w:p>
        </w:tc>
      </w:tr>
      <w:tr>
        <w:trPr/>
        <w:tc>
          <w:tcPr>
            <w:tcW w:w="2650"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sz w:val="24"/>
                <w:szCs w:val="24"/>
              </w:rPr>
            </w:pPr>
            <w:r>
              <w:rPr>
                <w:rFonts w:eastAsia="Times New Roman" w:cs="Arial" w:ascii="Arial" w:hAnsi="Arial"/>
                <w:b/>
                <w:color w:themeColor="accent4" w:themeShade="80" w:val="403152"/>
                <w:sz w:val="24"/>
                <w:szCs w:val="24"/>
                <w:lang w:eastAsia="ru-RU"/>
              </w:rPr>
              <w:t>Административный регламент</w:t>
            </w:r>
          </w:p>
        </w:tc>
        <w:tc>
          <w:tcPr>
            <w:tcW w:w="12182" w:type="dxa"/>
            <w:tcBorders>
              <w:top w:val="single" w:sz="6" w:space="0" w:color="EDEDED"/>
              <w:left w:val="single" w:sz="6" w:space="0" w:color="EDEDED"/>
              <w:bottom w:val="single" w:sz="6" w:space="0" w:color="EDEDED"/>
              <w:right w:val="single" w:sz="6" w:space="0" w:color="EDEDED"/>
            </w:tcBorders>
            <w:shd w:color="auto" w:fill="auto" w:val="clear"/>
            <w:tcMar>
              <w:left w:w="142" w:type="dxa"/>
            </w:tcMar>
          </w:tcPr>
          <w:p>
            <w:pPr>
              <w:pStyle w:val="Normal"/>
              <w:widowControl w:val="false"/>
              <w:spacing w:before="0" w:after="200"/>
              <w:jc w:val="both"/>
              <w:rPr>
                <w:rFonts w:ascii="Arial" w:hAnsi="Arial"/>
                <w:sz w:val="24"/>
                <w:szCs w:val="24"/>
              </w:rPr>
            </w:pPr>
            <w:r>
              <w:rPr>
                <w:rFonts w:ascii="Arial" w:hAnsi="Arial"/>
                <w:sz w:val="24"/>
                <w:szCs w:val="24"/>
              </w:rPr>
              <w:t>Приказ Департамента социальной политики Курганской области от 02.09.2026 N 260/Пр "Об утверждении Административного регламента предоставления Департаментом социальной политики Курганской области государственной услуги "Осуществление государственной экспертизы условий труда".</w:t>
            </w:r>
          </w:p>
        </w:tc>
      </w:tr>
    </w:tbl>
    <w:p>
      <w:pPr>
        <w:pStyle w:val="Normal"/>
        <w:widowControl/>
        <w:suppressAutoHyphens w:val="true"/>
        <w:bidi w:val="0"/>
        <w:spacing w:lineRule="auto" w:line="276" w:before="0" w:after="200"/>
        <w:jc w:val="left"/>
        <w:rPr/>
      </w:pPr>
      <w:r>
        <w:rPr/>
      </w:r>
    </w:p>
    <w:sectPr>
      <w:type w:val="nextPage"/>
      <w:pgSz w:orient="landscape" w:w="16838" w:h="11906"/>
      <w:pgMar w:left="851" w:right="1134" w:gutter="0" w:header="0" w:top="426" w:footer="0" w:bottom="85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swiss"/>
    <w:pitch w:val="variable"/>
  </w:font>
  <w:font w:name="Liberation Sans">
    <w:altName w:val="Arial"/>
    <w:charset w:val="cc"/>
    <w:family w:val="swiss"/>
    <w:pitch w:val="variable"/>
  </w:font>
  <w:font w:name="Times New Roman">
    <w:charset w:val="cc"/>
    <w:family w:val="roman"/>
    <w:pitch w:val="variable"/>
  </w:font>
  <w:font w:name="Arial">
    <w:charset w:val="cc"/>
    <w:family w:val="swiss"/>
    <w:pitch w:val="variable"/>
  </w:font>
</w:fonts>
</file>

<file path=word/settings.xml><?xml version="1.0" encoding="utf-8"?>
<w:settings xmlns:w="http://schemas.openxmlformats.org/wordprocessingml/2006/main">
  <w:zoom w:percent="90"/>
  <w:defaultTabStop w:val="720"/>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uiPriority w:val="99"/>
    <w:semiHidden/>
    <w:qFormat/>
    <w:rsid w:val="00236378"/>
    <w:rPr>
      <w:rFonts w:ascii="Tahoma" w:hAnsi="Tahoma" w:cs="Tahoma"/>
      <w:sz w:val="16"/>
      <w:szCs w:val="16"/>
    </w:rPr>
  </w:style>
  <w:style w:type="character" w:styleId="1" w:customStyle="1">
    <w:name w:val="Основной шрифт абзаца1"/>
    <w:qFormat/>
    <w:rsid w:val="002670ce"/>
    <w:rPr/>
  </w:style>
  <w:style w:type="character" w:styleId="Hyperlink">
    <w:name w:val="Hyperlink"/>
    <w:rPr>
      <w:color w:val="000080"/>
      <w:u w:val="single"/>
    </w:rPr>
  </w:style>
  <w:style w:type="paragraph" w:styleId="Style15">
    <w:name w:val="Заголовок"/>
    <w:basedOn w:val="Normal"/>
    <w:next w:val="BodyText"/>
    <w:qFormat/>
    <w:pPr>
      <w:keepNext w:val="true"/>
      <w:spacing w:before="240" w:after="120"/>
    </w:pPr>
    <w:rPr>
      <w:rFonts w:ascii="Liberation Sans" w:hAnsi="Liberation Sans" w:eastAsia="Microsoft YaHei" w:cs="Mangal"/>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Style16">
    <w:name w:val="Указатель"/>
    <w:basedOn w:val="Normal"/>
    <w:qFormat/>
    <w:pPr>
      <w:suppressLineNumbers/>
    </w:pPr>
    <w:rPr>
      <w:rFonts w:cs="Mangal"/>
    </w:rPr>
  </w:style>
  <w:style w:type="paragraph" w:styleId="user">
    <w:name w:val="Заголовок (user)"/>
    <w:basedOn w:val="Normal"/>
    <w:next w:val="BodyText"/>
    <w:qFormat/>
    <w:pPr>
      <w:keepNext w:val="true"/>
      <w:spacing w:before="240" w:after="120"/>
    </w:pPr>
    <w:rPr>
      <w:rFonts w:ascii="Liberation Sans" w:hAnsi="Liberation Sans" w:eastAsia="Microsoft YaHei" w:cs="Mangal"/>
      <w:sz w:val="28"/>
      <w:szCs w:val="28"/>
    </w:rPr>
  </w:style>
  <w:style w:type="paragraph" w:styleId="user1">
    <w:name w:val="Указатель (user)"/>
    <w:basedOn w:val="Normal"/>
    <w:qFormat/>
    <w:pPr>
      <w:suppressLineNumbers/>
    </w:pPr>
    <w:rPr>
      <w:rFonts w:cs="Mangal"/>
    </w:rPr>
  </w:style>
  <w:style w:type="paragraph" w:styleId="Title">
    <w:name w:val="Title"/>
    <w:basedOn w:val="Normal"/>
    <w:next w:val="BodyText"/>
    <w:qFormat/>
    <w:pPr>
      <w:keepNext w:val="true"/>
      <w:spacing w:before="240" w:after="120"/>
    </w:pPr>
    <w:rPr>
      <w:rFonts w:ascii="Liberation Sans" w:hAnsi="Liberation Sans" w:eastAsia="Microsoft YaHei" w:cs="Mangal"/>
      <w:sz w:val="28"/>
      <w:szCs w:val="28"/>
    </w:rPr>
  </w:style>
  <w:style w:type="paragraph" w:styleId="IndexHeading">
    <w:name w:val="index heading"/>
    <w:basedOn w:val="Normal"/>
    <w:qFormat/>
    <w:pPr>
      <w:suppressLineNumbers/>
    </w:pPr>
    <w:rPr>
      <w:rFonts w:cs="Mangal"/>
    </w:rPr>
  </w:style>
  <w:style w:type="paragraph" w:styleId="BalloonText">
    <w:name w:val="Balloon Text"/>
    <w:basedOn w:val="Normal"/>
    <w:uiPriority w:val="99"/>
    <w:semiHidden/>
    <w:unhideWhenUsed/>
    <w:qFormat/>
    <w:rsid w:val="00236378"/>
    <w:pPr>
      <w:spacing w:lineRule="auto" w:line="240" w:before="0" w:after="0"/>
    </w:pPr>
    <w:rPr>
      <w:rFonts w:ascii="Tahoma" w:hAnsi="Tahoma" w:cs="Tahoma"/>
      <w:sz w:val="16"/>
      <w:szCs w:val="16"/>
    </w:rPr>
  </w:style>
  <w:style w:type="paragraph" w:styleId="ListParagraph">
    <w:name w:val="List Paragraph"/>
    <w:basedOn w:val="Normal"/>
    <w:uiPriority w:val="34"/>
    <w:qFormat/>
    <w:rsid w:val="004166e5"/>
    <w:pPr>
      <w:spacing w:before="0" w:after="200"/>
      <w:ind w:left="720"/>
      <w:contextualSpacing/>
    </w:pPr>
    <w:rPr/>
  </w:style>
  <w:style w:type="paragraph" w:styleId="ng-scope" w:customStyle="1">
    <w:name w:val="ng-scope"/>
    <w:basedOn w:val="Normal"/>
    <w:qFormat/>
    <w:rsid w:val="00b94dec"/>
    <w:pPr>
      <w:spacing w:lineRule="auto" w:line="240" w:beforeAutospacing="1" w:afterAutospacing="1"/>
    </w:pPr>
    <w:rPr>
      <w:rFonts w:ascii="Times New Roman" w:hAnsi="Times New Roman" w:eastAsia="Times New Roman" w:cs="Times New Roman"/>
      <w:sz w:val="24"/>
      <w:szCs w:val="24"/>
      <w:lang w:eastAsia="ru-RU"/>
    </w:rPr>
  </w:style>
  <w:style w:type="paragraph" w:styleId="western" w:customStyle="1">
    <w:name w:val="western"/>
    <w:basedOn w:val="Normal"/>
    <w:qFormat/>
    <w:rsid w:val="005d143e"/>
    <w:pPr>
      <w:spacing w:lineRule="auto" w:line="288" w:beforeAutospacing="1" w:after="142"/>
    </w:pPr>
    <w:rPr>
      <w:rFonts w:ascii="Calibri" w:hAnsi="Calibri" w:eastAsia="Times New Roman" w:cs="Times New Roman"/>
      <w:color w:val="00000A"/>
      <w:lang w:eastAsia="ru-RU"/>
    </w:rPr>
  </w:style>
  <w:style w:type="paragraph" w:styleId="ConsPlusTitle" w:customStyle="1">
    <w:name w:val="ConsPlusTitle"/>
    <w:qFormat/>
    <w:rsid w:val="005c6575"/>
    <w:pPr>
      <w:widowControl w:val="false"/>
      <w:suppressAutoHyphens w:val="true"/>
      <w:bidi w:val="0"/>
      <w:spacing w:before="0" w:after="0"/>
      <w:jc w:val="left"/>
    </w:pPr>
    <w:rPr>
      <w:rFonts w:ascii="Calibri" w:hAnsi="Calibri" w:eastAsia="Times New Roman" w:cs="Calibri" w:asciiTheme="minorHAnsi" w:hAnsiTheme="minorHAnsi"/>
      <w:b/>
      <w:color w:val="auto"/>
      <w:kern w:val="0"/>
      <w:sz w:val="22"/>
      <w:szCs w:val="20"/>
      <w:lang w:val="ru-RU" w:eastAsia="ru-RU" w:bidi="ar-SA"/>
    </w:rPr>
  </w:style>
  <w:style w:type="paragraph" w:styleId="ConsPlusNormal" w:customStyle="1">
    <w:name w:val="ConsPlusNormal"/>
    <w:qFormat/>
    <w:rsid w:val="005c6575"/>
    <w:pPr>
      <w:widowControl w:val="false"/>
      <w:suppressAutoHyphens w:val="true"/>
      <w:bidi w:val="0"/>
      <w:spacing w:before="0" w:after="0"/>
      <w:jc w:val="left"/>
    </w:pPr>
    <w:rPr>
      <w:rFonts w:ascii="Calibri" w:hAnsi="Calibri" w:eastAsia="Times New Roman" w:cs="Calibri" w:asciiTheme="minorHAnsi" w:hAnsiTheme="minorHAnsi"/>
      <w:color w:val="auto"/>
      <w:kern w:val="0"/>
      <w:sz w:val="22"/>
      <w:szCs w:val="20"/>
      <w:lang w:val="ru-RU" w:eastAsia="ru-RU" w:bidi="ar-SA"/>
    </w:rPr>
  </w:style>
  <w:style w:type="paragraph" w:styleId="Style17" w:customStyle="1">
    <w:name w:val="Содержимое таблицы"/>
    <w:basedOn w:val="Normal"/>
    <w:qFormat/>
    <w:pPr>
      <w:suppressLineNumbers/>
    </w:pPr>
    <w:rPr/>
  </w:style>
  <w:style w:type="paragraph" w:styleId="Style18" w:customStyle="1">
    <w:name w:val="Заголовок таблицы"/>
    <w:basedOn w:val="Style17"/>
    <w:qFormat/>
    <w:pPr>
      <w:jc w:val="center"/>
    </w:pPr>
    <w:rPr>
      <w:b/>
      <w:bCs/>
    </w:rPr>
  </w:style>
  <w:style w:type="numbering" w:styleId="user2"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510</TotalTime>
  <Application>LibreOffice/25.2.7.2$Windows_X86_64 LibreOffice_project/5cbfd1ab6520636bb5f7b99185aa69bd7456825d</Application>
  <AppVersion>15.0000</AppVersion>
  <Pages>4</Pages>
  <Words>604</Words>
  <Characters>4652</Characters>
  <CharactersWithSpaces>5209</CharactersWithSpaces>
  <Paragraphs>49</Paragraphs>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2026-09-29T14:01:00Z</dcterms:created>
  <dc:creator>Надежда Николаевна Плотникова</dc:creator>
  <dc:description/>
  <dc:language>ru-RU</dc:language>
  <cp:lastModifiedBy/>
  <dcterms:modified xsi:type="dcterms:W3CDTF">2026-10-07T11:45:19Z</dcterms:modified>
  <cp:revision>56</cp:revision>
  <dc:subject/>
  <dc:title>Приказ Департамента социальной политики Курганской области от 02.09.2026 N 260/Пр"Об утверждении Административного регламента предоставления Департаментом социальной политики Курганской области государственной услуги "Осуществление государственной экспертизы условий труда"(вместе с "Перечнем условных обозначений и сокращений", "Заявлением о предоставлении государственной услуги по осуществлению государственной экспертизы условий труда", "Исчерпывающим перечнем документов, необходимых для предоставления го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