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309"/>
        <w:gridCol w:w="12543"/>
      </w:tblGrid>
      <w:tr>
        <w:trPr>
          <w:trHeight w:val="713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Наименование 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spacing w:before="0" w:after="200"/>
              <w:ind w:hanging="0" w:left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Назначение ежемесячной доплаты к страховой пенсии гражданам, имеющим особые заслуги и внесших большой вклад в развитие Курганской области, и их семей</w:t>
            </w:r>
          </w:p>
        </w:tc>
      </w:tr>
      <w:tr>
        <w:trPr>
          <w:trHeight w:val="631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Орган, предоставляющий услугу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Style21"/>
              <w:widowControl w:val="false"/>
              <w:spacing w:lineRule="auto" w:line="240"/>
              <w:rPr/>
            </w:pPr>
            <w:r>
              <w:rPr>
                <w:rStyle w:val="FontStyle20"/>
                <w:rFonts w:cs="Arial" w:ascii="Arial" w:hAnsi="Arial"/>
                <w:sz w:val="20"/>
                <w:szCs w:val="20"/>
              </w:rPr>
              <w:t>Департамент социальной политики Курганской области</w:t>
            </w:r>
          </w:p>
        </w:tc>
      </w:tr>
      <w:tr>
        <w:trPr>
          <w:trHeight w:val="574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hanging="0" w:left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Заявителями при предоставлении государственной услуги являются лица, указанные в </w:t>
            </w:r>
            <w:hyperlink r:id="rId2">
              <w:r>
                <w:rPr>
                  <w:rStyle w:val="Hyperlink"/>
                  <w:rFonts w:ascii="Arial" w:hAnsi="Arial"/>
                  <w:b w:val="false"/>
                  <w:i w:val="false"/>
                  <w:strike w:val="false"/>
                  <w:dstrike w:val="false"/>
                  <w:color w:val="0000FF"/>
                  <w:sz w:val="20"/>
                  <w:u w:val="none"/>
                </w:rPr>
                <w:t>статье 1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 Закона Курганской области от 2 июля 2002 года N 201 "О мерах социальной поддержки граждан, имеющих особые заслуги и внесших большой вклад в развитие Курганской области".</w:t>
            </w:r>
          </w:p>
          <w:p>
            <w:pPr>
              <w:pStyle w:val="Normal"/>
              <w:widowControl w:val="false"/>
              <w:spacing w:lineRule="atLeast" w:line="102" w:beforeAutospacing="1" w:after="0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Гражданин может воспользоваться государственной услугой через доверенных лиц.</w:t>
            </w:r>
          </w:p>
        </w:tc>
      </w:tr>
      <w:tr>
        <w:trPr>
          <w:trHeight w:val="631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Обязательные документы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Autospacing="1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-заявление;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Autospacing="1"/>
              <w:rPr>
                <w:rFonts w:ascii="Arial" w:hAnsi="Arial"/>
              </w:rPr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-к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опия свидетельства о рождении ребенка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  <w:shd w:fill="FFFF00" w:val="clear"/>
              </w:rPr>
              <w:t>(в случае регистрации записи акта о рождении ребенка компетентными органами на территории иностранного государства);</w:t>
            </w:r>
          </w:p>
          <w:p>
            <w:pPr>
              <w:pStyle w:val="Normal"/>
              <w:ind w:hanging="0"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-документ об обучении заявителя старше восемнадцати лет по очной форме обучения в образовательной организации;</w:t>
            </w:r>
          </w:p>
          <w:p>
            <w:pPr>
              <w:pStyle w:val="Normal"/>
              <w:spacing w:before="0" w:after="200"/>
              <w:ind w:hanging="0"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-документ, удостоверяющий личность представителя заявителя, и документ, подтверждающий его полномочия действовать от имени заявителя</w:t>
            </w: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.</w:t>
            </w:r>
          </w:p>
        </w:tc>
      </w:tr>
      <w:tr>
        <w:trPr>
          <w:trHeight w:val="627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Необязательные документы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сведения о рождении ребенка</w:t>
            </w:r>
            <w:bookmarkStart w:id="0" w:name="_GoBack"/>
            <w:bookmarkEnd w:id="0"/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.</w:t>
            </w:r>
          </w:p>
        </w:tc>
      </w:tr>
      <w:tr>
        <w:trPr>
          <w:trHeight w:val="773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hanging="0" w:left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- назначение ежемесячной доплаты к страховой пенсии;</w:t>
            </w:r>
          </w:p>
          <w:p>
            <w:pPr>
              <w:pStyle w:val="Normal"/>
              <w:spacing w:before="200" w:after="200"/>
              <w:ind w:hanging="0" w:left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- отказ в назначении ежемесячной доплаты к страховой пенсии.</w:t>
            </w:r>
          </w:p>
          <w:p>
            <w:pPr>
              <w:pStyle w:val="Normal"/>
              <w:widowControl w:val="false"/>
              <w:spacing w:before="0" w:after="200"/>
              <w:ind w:hanging="0" w:left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885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Срок предоставления услуги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20 календарных дней</w:t>
            </w:r>
          </w:p>
        </w:tc>
      </w:tr>
      <w:tr>
        <w:trPr/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Стоимость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</w:tr>
      <w:tr>
        <w:trPr>
          <w:trHeight w:val="1148" w:hRule="atLeast"/>
        </w:trPr>
        <w:tc>
          <w:tcPr>
            <w:tcW w:w="230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НПА</w:t>
            </w:r>
          </w:p>
        </w:tc>
        <w:tc>
          <w:tcPr>
            <w:tcW w:w="1254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102" w:beforeAutospacing="1" w:after="0"/>
              <w:jc w:val="both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Приказ Департамента социальной политики Курганской области от 18.09.2026 N 277/Пр "Об утверждении Административного регламента предоставления государственной услуги "Назначение ежемесячной доплаты к страховой пенсии гражданам, имеющим особые заслуги и внесших большой вклад в развитие Курганской области, и их семей"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01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hanging="0" w:left="72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273&amp;n=73141&amp;dst=100039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LibreOffice/25.2.7.2$Windows_X86_64 LibreOffice_project/5cbfd1ab6520636bb5f7b99185aa69bd7456825d</Application>
  <AppVersion>15.0000</AppVersion>
  <Pages>2</Pages>
  <Words>213</Words>
  <Characters>1523</Characters>
  <CharactersWithSpaces>1710</CharactersWithSpaces>
  <Paragraphs>26</Paragraphs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2026-10-12T10:27:00Z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2026-10-12T10:36:08Z</dcterms:modified>
  <cp:revision>11</cp:revision>
  <dc:subject/>
  <dc:title>Приказ Департамента социальной политики Курганской области от 18.09.2026 N 277/Пр"Об утверждении Административного регламента предоставления государственной услуги "Назначение ежемесячной доплаты к страховой пенсии гражданам, имеющим особые заслуги и внесших большой вклад в развитие Курганской области, и их семей"(вместе с "Перечнем условных обозначений и сокращений", "Идентификаторами категорий (признаков) заявителей", "Исчерпывающим перечнем документов, необходимых для предоставления государственной усл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