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5443" w:type="dxa"/>
        <w:jc w:val="left"/>
        <w:tblInd w:w="135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firstRow="1" w:noVBand="1" w:lastRow="0" w:firstColumn="1" w:lastColumn="0" w:noHBand="0" w:val="04a0"/>
      </w:tblPr>
      <w:tblGrid>
        <w:gridCol w:w="2447"/>
        <w:gridCol w:w="12995"/>
      </w:tblGrid>
      <w:tr>
        <w:trPr>
          <w:trHeight w:val="713" w:hRule="atLeast"/>
        </w:trPr>
        <w:tc>
          <w:tcPr>
            <w:tcW w:w="244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sz w:val="22"/>
                <w:szCs w:val="22"/>
                <w:lang w:eastAsia="ru-RU"/>
              </w:rPr>
              <w:t>Наименование услуги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 w:cs="Arial" w:ascii="Arial" w:hAnsi="Arial"/>
                <w:b/>
                <w:sz w:val="22"/>
                <w:szCs w:val="22"/>
                <w:lang w:eastAsia="ru-RU"/>
              </w:rPr>
            </w:r>
          </w:p>
        </w:tc>
        <w:tc>
          <w:tcPr>
            <w:tcW w:w="1299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sz w:val="22"/>
                <w:szCs w:val="22"/>
                <w:lang w:eastAsia="ru-RU"/>
              </w:rPr>
              <w:t>Назначение и выплата ежемесячной доплаты к пенсии проживающим на территории Курганской области родителям лиц, погибших (умерших) вследствие участия в боевых действиях в Афганистане</w:t>
            </w:r>
          </w:p>
        </w:tc>
      </w:tr>
      <w:tr>
        <w:trPr>
          <w:trHeight w:val="631" w:hRule="atLeast"/>
        </w:trPr>
        <w:tc>
          <w:tcPr>
            <w:tcW w:w="244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sz w:val="22"/>
                <w:szCs w:val="22"/>
                <w:lang w:eastAsia="ru-RU"/>
              </w:rPr>
              <w:t>Орган, предоставляющий услугу</w:t>
            </w:r>
          </w:p>
        </w:tc>
        <w:tc>
          <w:tcPr>
            <w:tcW w:w="1299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spacing w:before="0" w:after="20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Государственная услуга предоставляется государственным казенным учреждением "Центр социальной поддержки Курганской области", подведомственным Департаменту социальной политики Курганской области.</w:t>
            </w:r>
          </w:p>
        </w:tc>
      </w:tr>
      <w:tr>
        <w:trPr>
          <w:trHeight w:val="2417" w:hRule="atLeast"/>
        </w:trPr>
        <w:tc>
          <w:tcPr>
            <w:tcW w:w="244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sz w:val="22"/>
                <w:szCs w:val="22"/>
                <w:lang w:eastAsia="ru-RU"/>
              </w:rPr>
              <w:t>Заявители</w:t>
            </w:r>
          </w:p>
        </w:tc>
        <w:tc>
          <w:tcPr>
            <w:tcW w:w="1299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ind w:hanging="0" w:left="0"/>
              <w:jc w:val="both"/>
              <w:rPr/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Заявителями при предоставлении государственной услуги являются родители лиц, погибших (умерших) вследствие участия в боевых действиях в Афганистане с апреля 1978 года по 15 февраля 1989 года в соответствии с </w:t>
            </w:r>
            <w:hyperlink r:id="rId2">
              <w:r>
                <w:rPr>
                  <w:rStyle w:val="Hyperlink"/>
                  <w:rFonts w:ascii="Arial" w:hAnsi="Arial"/>
                  <w:b w:val="false"/>
                  <w:i w:val="false"/>
                  <w:strike w:val="false"/>
                  <w:dstrike w:val="false"/>
                  <w:color w:val="0000FF"/>
                  <w:sz w:val="22"/>
                  <w:szCs w:val="22"/>
                  <w:u w:val="none"/>
                </w:rPr>
                <w:t>п. 3 ст. 21</w:t>
              </w:r>
            </w:hyperlink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 Федерального закона от 12 января 1995 года N 5-ФЗ "О ветеранах", на которых распространены меры социальной поддержки.</w:t>
            </w:r>
          </w:p>
          <w:p>
            <w:pPr>
              <w:pStyle w:val="Normal"/>
              <w:spacing w:before="200" w:after="200"/>
              <w:ind w:firstLine="54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Право на доплату к пенсии имеет каждый из родителей погибшего (умершего) независимо от вида установленной ему пенсии.</w:t>
            </w:r>
          </w:p>
        </w:tc>
      </w:tr>
      <w:tr>
        <w:trPr>
          <w:trHeight w:val="631" w:hRule="atLeast"/>
        </w:trPr>
        <w:tc>
          <w:tcPr>
            <w:tcW w:w="244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sz w:val="22"/>
                <w:szCs w:val="22"/>
                <w:lang w:eastAsia="ru-RU"/>
              </w:rPr>
              <w:t>Обязательные документы</w:t>
            </w:r>
          </w:p>
        </w:tc>
        <w:tc>
          <w:tcPr>
            <w:tcW w:w="1299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- заявление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- документ, удостоверяющий личность заявителя;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200" w:after="20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2C2A29"/>
                <w:sz w:val="22"/>
                <w:szCs w:val="22"/>
                <w:lang w:eastAsia="ru-RU"/>
              </w:rPr>
              <w:t>-д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окумент, удостоверяющий личность представителя заявителя, и документ, подтверждающий его полномочия действовать от имени заявителя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  <w:shd w:fill="FFFF00" w:val="clear"/>
              </w:rPr>
              <w:t>(в случае обращения представителя заявителя с заявлением);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200" w:after="20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  <w:shd w:fill="auto" w:val="clear"/>
              </w:rPr>
              <w:t>- д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окумент военно-врачебной комиссии, удостоверяющий причинную связь смерти лица, погибшего (умершего) вследствие участия в боевых действиях в Афганистане, с военной травмой или заболеванием, полученным в период прохождения военной службы в Афганистане с апреля 1978 года по 15 февраля 1989 года.</w:t>
            </w:r>
          </w:p>
        </w:tc>
      </w:tr>
      <w:tr>
        <w:trPr>
          <w:trHeight w:val="627" w:hRule="atLeast"/>
        </w:trPr>
        <w:tc>
          <w:tcPr>
            <w:tcW w:w="244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sz w:val="22"/>
                <w:szCs w:val="22"/>
                <w:lang w:eastAsia="ru-RU"/>
              </w:rPr>
              <w:t>Необязательные документы</w:t>
            </w:r>
          </w:p>
        </w:tc>
        <w:tc>
          <w:tcPr>
            <w:tcW w:w="1299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200" w:after="20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cs="Arial" w:ascii="Arial" w:hAnsi="Arial"/>
                <w:b w:val="false"/>
                <w:i w:val="false"/>
                <w:strike w:val="false"/>
                <w:dstrike w:val="false"/>
                <w:color w:val="000000"/>
                <w:sz w:val="22"/>
                <w:szCs w:val="22"/>
                <w:u w:val="none"/>
              </w:rPr>
              <w:t>- д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окумент (сведения), подтверждающий родственные отношения заявителя с лицом, погибшим, умершим вследствие участия в боевых действиях в Афганистане;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200" w:after="20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- документ (сведения) о смерти лица, погибшего (умершего) вследствие участия в боевых действиях в Афганистане;</w:t>
            </w:r>
          </w:p>
          <w:p>
            <w:pPr>
              <w:pStyle w:val="Normal"/>
              <w:ind w:hanging="0" w:left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-документ (сведения) о получении заявителем пенсии;</w:t>
            </w:r>
          </w:p>
          <w:p>
            <w:pPr>
              <w:pStyle w:val="Normal"/>
              <w:spacing w:before="0" w:after="200"/>
              <w:ind w:hanging="0" w:left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-документ (сведения) о регистрации заявителя на территории Курганской области по месту жительства или месту пребывания.</w:t>
            </w:r>
          </w:p>
        </w:tc>
      </w:tr>
      <w:tr>
        <w:trPr>
          <w:trHeight w:val="880" w:hRule="atLeast"/>
        </w:trPr>
        <w:tc>
          <w:tcPr>
            <w:tcW w:w="244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sz w:val="22"/>
                <w:szCs w:val="22"/>
                <w:lang w:eastAsia="ru-RU"/>
              </w:rPr>
              <w:t>Результат</w:t>
            </w:r>
          </w:p>
        </w:tc>
        <w:tc>
          <w:tcPr>
            <w:tcW w:w="1299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- назначение и выплата доплаты к пенсии;</w:t>
            </w:r>
          </w:p>
          <w:p>
            <w:pPr>
              <w:pStyle w:val="Normal"/>
              <w:spacing w:before="0" w:after="200"/>
              <w:ind w:hanging="0" w:left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- отказ в назначении и выплате доплаты к пенсии.</w:t>
            </w:r>
          </w:p>
        </w:tc>
      </w:tr>
      <w:tr>
        <w:trPr>
          <w:trHeight w:val="885" w:hRule="atLeast"/>
        </w:trPr>
        <w:tc>
          <w:tcPr>
            <w:tcW w:w="244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sz w:val="22"/>
                <w:szCs w:val="22"/>
                <w:lang w:eastAsia="ru-RU"/>
              </w:rPr>
              <w:t>Срок предоставления услуги</w:t>
            </w:r>
          </w:p>
        </w:tc>
        <w:tc>
          <w:tcPr>
            <w:tcW w:w="1299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ConsPlusNormal"/>
              <w:widowControl w:val="false"/>
              <w:spacing w:lineRule="auto" w:line="24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10 рабочих дней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со дня регистрации заявления о назначении;</w:t>
            </w:r>
          </w:p>
          <w:p>
            <w:pPr>
              <w:pStyle w:val="ConsPlusNormal"/>
              <w:widowControl w:val="false"/>
              <w:spacing w:lineRule="auto" w:line="24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3 рабочих дня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со дня регистрации заявления о возобновлении;</w:t>
            </w:r>
          </w:p>
          <w:p>
            <w:pPr>
              <w:pStyle w:val="ConsPlusNormal"/>
              <w:widowControl w:val="false"/>
              <w:spacing w:lineRule="auto" w:line="24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5 рабочих дней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 xml:space="preserve">со дня регистрации заявления об изменении данных </w:t>
            </w:r>
          </w:p>
        </w:tc>
      </w:tr>
      <w:tr>
        <w:trPr/>
        <w:tc>
          <w:tcPr>
            <w:tcW w:w="244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sz w:val="22"/>
                <w:szCs w:val="22"/>
                <w:lang w:eastAsia="ru-RU"/>
              </w:rPr>
              <w:t>Основания для отказа в приеме заявления</w:t>
            </w:r>
          </w:p>
        </w:tc>
        <w:tc>
          <w:tcPr>
            <w:tcW w:w="1299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57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sz w:val="22"/>
                <w:szCs w:val="22"/>
                <w:lang w:eastAsia="ru-RU"/>
              </w:rPr>
              <w:t>нет</w:t>
            </w:r>
          </w:p>
        </w:tc>
      </w:tr>
      <w:tr>
        <w:trPr>
          <w:trHeight w:val="523" w:hRule="atLeast"/>
        </w:trPr>
        <w:tc>
          <w:tcPr>
            <w:tcW w:w="244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sz w:val="22"/>
                <w:szCs w:val="22"/>
                <w:lang w:eastAsia="ru-RU"/>
              </w:rPr>
              <w:t>Стоимость</w:t>
            </w:r>
          </w:p>
        </w:tc>
        <w:tc>
          <w:tcPr>
            <w:tcW w:w="1299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57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sz w:val="22"/>
                <w:szCs w:val="22"/>
                <w:lang w:eastAsia="ru-RU"/>
              </w:rPr>
              <w:t>бесплатно</w:t>
            </w:r>
          </w:p>
        </w:tc>
      </w:tr>
      <w:tr>
        <w:trPr>
          <w:trHeight w:val="1735" w:hRule="atLeast"/>
        </w:trPr>
        <w:tc>
          <w:tcPr>
            <w:tcW w:w="244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sz w:val="22"/>
                <w:szCs w:val="22"/>
                <w:lang w:eastAsia="ru-RU"/>
              </w:rPr>
              <w:t>Иные требования, учитывающие особенности предоставления государственной услуги через МФЦ</w:t>
            </w:r>
          </w:p>
        </w:tc>
        <w:tc>
          <w:tcPr>
            <w:tcW w:w="1299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sz w:val="22"/>
                <w:szCs w:val="22"/>
                <w:lang w:eastAsia="ru-RU"/>
              </w:rPr>
            </w:pPr>
            <w:r>
              <w:rPr>
                <w:rFonts w:eastAsia="Times New Roman" w:cs="Arial" w:ascii="Arial" w:hAnsi="Arial"/>
                <w:sz w:val="22"/>
                <w:szCs w:val="22"/>
                <w:lang w:eastAsia="ru-RU"/>
              </w:rPr>
            </w:r>
          </w:p>
        </w:tc>
      </w:tr>
      <w:tr>
        <w:trPr>
          <w:trHeight w:val="1735" w:hRule="atLeast"/>
        </w:trPr>
        <w:tc>
          <w:tcPr>
            <w:tcW w:w="244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sz w:val="22"/>
                <w:szCs w:val="22"/>
                <w:lang w:eastAsia="ru-RU"/>
              </w:rPr>
              <w:t>НПА</w:t>
            </w:r>
          </w:p>
        </w:tc>
        <w:tc>
          <w:tcPr>
            <w:tcW w:w="1299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Autospacing="1" w:after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ru-RU"/>
              </w:rPr>
              <w:t>Приказ Департамента социальной политики Курганской области от 09.09.2026 N 268/Пр "Об утверждении Административного регламента предоставления государственной услуги "Назначение и выплата ежемесячной доплаты к пенсии проживающим на территории Курганской области родителям лиц, погибших (умерших) вследствие участия в боевых действиях в Афганистане"</w:t>
            </w:r>
          </w:p>
        </w:tc>
      </w:tr>
    </w:tbl>
    <w:p>
      <w:pPr>
        <w:pStyle w:val="Normal"/>
        <w:spacing w:before="0" w:after="200"/>
        <w:jc w:val="righ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sectPr>
      <w:type w:val="nextPage"/>
      <w:pgSz w:orient="landscape" w:w="16838" w:h="11906"/>
      <w:pgMar w:left="851" w:right="1134" w:gutter="0" w:header="0" w:top="426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Arial">
    <w:charset w:val="01"/>
    <w:family w:val="swiss"/>
    <w:pitch w:val="variable"/>
  </w:font>
  <w:font w:name="Arial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0a15b1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23637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uiPriority w:val="9"/>
    <w:qFormat/>
    <w:rsid w:val="000a15b1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564d1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33ce"/>
    <w:rPr>
      <w:b/>
      <w:bCs/>
    </w:rPr>
  </w:style>
  <w:style w:type="character" w:styleId="FontStyle20" w:customStyle="1">
    <w:name w:val="Font Style20"/>
    <w:basedOn w:val="DefaultParagraphFont"/>
    <w:uiPriority w:val="99"/>
    <w:qFormat/>
    <w:rsid w:val="00a2080e"/>
    <w:rPr>
      <w:rFonts w:ascii="Times New Roman" w:hAnsi="Times New Roman" w:cs="Times New Roman"/>
      <w:sz w:val="18"/>
      <w:szCs w:val="18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23637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6e5"/>
    <w:pPr>
      <w:spacing w:before="0" w:after="200"/>
      <w:ind w:hanging="0" w:left="720"/>
      <w:contextualSpacing/>
    </w:pPr>
    <w:rPr/>
  </w:style>
  <w:style w:type="paragraph" w:styleId="ConsPlusTitle" w:customStyle="1">
    <w:name w:val="ConsPlusTitle"/>
    <w:qFormat/>
    <w:rsid w:val="001f41f3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ConsPlusNormal" w:customStyle="1">
    <w:name w:val="ConsPlusNormal"/>
    <w:qFormat/>
    <w:rsid w:val="0039620a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rsid w:val="004b3fc2"/>
    <w:pPr>
      <w:spacing w:lineRule="auto" w:line="240" w:beforeAutospacing="1" w:after="0"/>
      <w:jc w:val="both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western" w:customStyle="1">
    <w:name w:val="western"/>
    <w:basedOn w:val="Normal"/>
    <w:qFormat/>
    <w:rsid w:val="006c56f7"/>
    <w:pPr>
      <w:spacing w:lineRule="auto" w:line="240" w:beforeAutospacing="1" w:after="0"/>
      <w:jc w:val="both"/>
    </w:pPr>
    <w:rPr>
      <w:rFonts w:ascii="Liberation Sans" w:hAnsi="Liberation Sans" w:eastAsia="Times New Roman" w:cs="Liberation Sans"/>
      <w:color w:val="000000"/>
      <w:sz w:val="24"/>
      <w:szCs w:val="24"/>
      <w:lang w:eastAsia="ru-RU"/>
    </w:rPr>
  </w:style>
  <w:style w:type="paragraph" w:styleId="frgu-text-title" w:customStyle="1">
    <w:name w:val="frgu-text-title"/>
    <w:basedOn w:val="Normal"/>
    <w:qFormat/>
    <w:rsid w:val="00762a9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g-binding" w:customStyle="1">
    <w:name w:val="ng-binding"/>
    <w:basedOn w:val="Normal"/>
    <w:qFormat/>
    <w:rsid w:val="00762a9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Cell" w:customStyle="1">
    <w:name w:val="ConsPlusCell"/>
    <w:qFormat/>
    <w:rsid w:val="003212fa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DocList" w:customStyle="1">
    <w:name w:val="ConsPlusDocList"/>
    <w:qFormat/>
    <w:rsid w:val="00425f17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Style21" w:customStyle="1">
    <w:name w:val="Style2"/>
    <w:basedOn w:val="Normal"/>
    <w:uiPriority w:val="99"/>
    <w:qFormat/>
    <w:rsid w:val="00a2080e"/>
    <w:pPr>
      <w:widowControl w:val="false"/>
      <w:spacing w:lineRule="exact" w:line="233" w:before="0" w:after="0"/>
      <w:jc w:val="center"/>
    </w:pPr>
    <w:rPr>
      <w:rFonts w:ascii="Times New Roman" w:hAnsi="Times New Roman" w:eastAsia="" w:cs="Times New Roman" w:eastAsiaTheme="minorEastAsia"/>
      <w:color w:val="00000A"/>
      <w:sz w:val="24"/>
      <w:szCs w:val="24"/>
      <w:lang w:eastAsia="ru-RU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eq=doc&amp;base=LAW&amp;n=541134&amp;dst=100525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Application>LibreOffice/25.2.7.2$Windows_X86_64 LibreOffice_project/5cbfd1ab6520636bb5f7b99185aa69bd7456825d</Application>
  <AppVersion>15.0000</AppVersion>
  <Pages>2</Pages>
  <Words>346</Words>
  <Characters>2390</Characters>
  <CharactersWithSpaces>2706</CharactersWithSpaces>
  <Paragraphs>31</Paragraphs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2026-10-12T14:40:00Z</dcterms:created>
  <dc:creator>Надежда Николаевна Плотникова</dc:creator>
  <dc:description/>
  <dc:language>ru-RU</dc:language>
  <cp:lastModifiedBy/>
  <cp:lastPrinted>2018-08-08T10:10:00Z</cp:lastPrinted>
  <dcterms:modified xsi:type="dcterms:W3CDTF">2026-10-12T14:48:08Z</dcterms:modified>
  <cp:revision>13</cp:revision>
  <dc:subject/>
  <dc:title>Приказ Департамента социальной политики Курганской области от 09.09.2026 N 268/Пр"Об утверждении Административного регламента предоставления государственной услуги "Назначение и выплата ежемесячной доплаты к пенсии проживающим на территории Курганской области родителям лиц, погибших (умерших) вследствие участия в боевых действиях в Афганистане"(вместе с "Перечнем условных обозначений и сокращений", "Идентификаторами категорий (признаков) заявителей", "Исчерпывающим перечнем документов, необходимых для пре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