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rPr/>
      </w:pPr>
      <w:r>
        <w:rPr/>
      </w:r>
    </w:p>
    <w:p>
      <w:pPr>
        <w:pStyle w:val="Style17"/>
        <w:rPr/>
      </w:pPr>
      <w:r>
        <w:rPr/>
      </w:r>
    </w:p>
    <w:tbl>
      <w:tblPr>
        <w:tblW w:w="15438" w:type="dxa"/>
        <w:jc w:val="left"/>
        <w:tblInd w:w="13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319"/>
        <w:gridCol w:w="13118"/>
      </w:tblGrid>
      <w:tr>
        <w:trPr>
          <w:trHeight w:val="571" w:hRule="atLeast"/>
        </w:trPr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20"/>
                <w:tab w:val="left" w:pos="426" w:leader="none"/>
                <w:tab w:val="left" w:pos="1346" w:leader="none"/>
                <w:tab w:val="left" w:pos="2268" w:leader="none"/>
              </w:tabs>
              <w:suppressAutoHyphens w:val="false"/>
              <w:overflowPunct w:val="true"/>
              <w:spacing w:lineRule="auto" w:line="240" w:before="0" w:after="0"/>
              <w:ind w:firstLine="709"/>
              <w:jc w:val="center"/>
              <w:rPr>
                <w:rFonts w:ascii="Arial" w:hAnsi="Arial" w:eastAsia="Calibri" w:cs="Arial"/>
                <w:b w:val="false"/>
                <w:b w:val="false"/>
                <w:bCs/>
                <w:color w:val="000000"/>
                <w:spacing w:val="-1"/>
                <w:kern w:val="2"/>
                <w:sz w:val="22"/>
                <w:szCs w:val="22"/>
                <w:shd w:fill="auto" w:val="clear"/>
                <w:lang w:eastAsia="ru-RU" w:bidi="ru-RU"/>
              </w:rPr>
            </w:pPr>
            <w:r>
              <w:rPr>
                <w:rFonts w:eastAsia="Calibri" w:cs="Arial" w:ascii="Arial" w:hAnsi="Arial"/>
                <w:b w:val="false"/>
                <w:bCs/>
                <w:color w:val="000000"/>
                <w:spacing w:val="-1"/>
                <w:kern w:val="2"/>
                <w:sz w:val="22"/>
                <w:szCs w:val="22"/>
                <w:shd w:fill="auto" w:val="clear"/>
                <w:lang w:eastAsia="ru-RU" w:bidi="ru-RU"/>
              </w:rPr>
              <w:t>Обеспечение граждан, имеющих право на получение государственной социальной помощи в виде набора социальных услуг, санаторно-курортным лечением и бесплатным проездом на междугородном транспорте к месту лечения и обратно</w:t>
            </w:r>
          </w:p>
        </w:tc>
      </w:tr>
      <w:tr>
        <w:trPr>
          <w:trHeight w:val="571" w:hRule="atLeast"/>
        </w:trPr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Ответственный орган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icrosoft Sans Serif" w:cs="Times New Roman"/>
                <w:bCs/>
                <w:color w:val="000000"/>
                <w:kern w:val="2"/>
                <w:sz w:val="22"/>
                <w:szCs w:val="22"/>
                <w:lang w:eastAsia="ru-RU"/>
              </w:rPr>
            </w:pPr>
            <w:r>
              <w:rPr>
                <w:rFonts w:eastAsia="Microsoft Sans Serif" w:cs="Times New Roman" w:ascii="Arial" w:hAnsi="Arial"/>
                <w:bCs/>
                <w:color w:val="000000"/>
                <w:kern w:val="2"/>
                <w:sz w:val="22"/>
                <w:szCs w:val="22"/>
                <w:shd w:fill="auto" w:val="clear"/>
                <w:lang w:eastAsia="ru-RU"/>
              </w:rPr>
              <w:t>Фонд социального и пенсионного страхования Российской Федерации</w:t>
            </w:r>
            <w:r>
              <w:rPr>
                <w:rFonts w:eastAsia="Microsoft Sans Serif" w:cs="Times New Roman" w:ascii="Arial" w:hAnsi="Arial"/>
                <w:bCs/>
                <w:color w:val="000000"/>
                <w:kern w:val="2"/>
                <w:sz w:val="22"/>
                <w:szCs w:val="22"/>
                <w:lang w:eastAsia="ru-RU"/>
              </w:rPr>
              <w:t xml:space="preserve"> </w:t>
            </w:r>
          </w:p>
        </w:tc>
      </w:tr>
      <w:tr>
        <w:trPr>
          <w:trHeight w:val="826" w:hRule="atLeast"/>
        </w:trPr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1"/>
              <w:widowControl w:val="false"/>
              <w:spacing w:before="0" w:after="0"/>
              <w:ind w:hanging="0"/>
              <w:jc w:val="both"/>
              <w:rPr>
                <w:shd w:fill="E8F2A1" w:val="clear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  <w:shd w:fill="E8F2A1" w:val="clear"/>
              </w:rPr>
              <w:t>Предоставляется гражданам, имеющим право на получение государственной социальной помощи в виде набора социальных услуг, относящимся к категориям, указанным в пунктах 1 - 10 статьи 6.1 Федерального закона от 17 июля 1999 г.</w:t>
            </w:r>
            <w:r>
              <w:rPr>
                <w:rFonts w:cs="Arial" w:ascii="Arial" w:hAnsi="Arial"/>
                <w:sz w:val="22"/>
                <w:szCs w:val="22"/>
                <w:shd w:fill="E8F2A1" w:val="clear"/>
              </w:rPr>
              <w:t xml:space="preserve"> № 178-ФЗ "О государственной социальной помощи":</w:t>
            </w:r>
          </w:p>
          <w:p>
            <w:pPr>
              <w:pStyle w:val="Style17"/>
              <w:widowControl w:val="false"/>
              <w:spacing w:before="0" w:after="0"/>
              <w:ind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1) инвалиды войны;</w:t>
            </w:r>
          </w:p>
          <w:p>
            <w:pPr>
              <w:pStyle w:val="Style17"/>
              <w:widowControl w:val="false"/>
              <w:spacing w:before="0" w:after="0"/>
              <w:rPr>
                <w:rFonts w:ascii="Arial" w:hAnsi="Arial"/>
                <w:sz w:val="22"/>
                <w:szCs w:val="22"/>
              </w:rPr>
            </w:pPr>
            <w:bookmarkStart w:id="0" w:name="dst23"/>
            <w:bookmarkEnd w:id="0"/>
            <w:r>
              <w:rPr>
                <w:rFonts w:ascii="Arial" w:hAnsi="Arial"/>
                <w:sz w:val="22"/>
                <w:szCs w:val="22"/>
              </w:rPr>
              <w:t>2) участники Великой Отечественной войны;</w:t>
            </w:r>
          </w:p>
          <w:p>
            <w:pPr>
              <w:pStyle w:val="Style17"/>
              <w:widowControl w:val="false"/>
              <w:spacing w:before="0" w:after="0"/>
              <w:rPr/>
            </w:pPr>
            <w:bookmarkStart w:id="1" w:name="dst24"/>
            <w:bookmarkStart w:id="2" w:name="dst100082"/>
            <w:bookmarkStart w:id="3" w:name="dst506"/>
            <w:bookmarkEnd w:id="1"/>
            <w:bookmarkEnd w:id="2"/>
            <w:bookmarkEnd w:id="3"/>
            <w:r>
              <w:rPr>
                <w:rFonts w:ascii="Arial" w:hAnsi="Arial"/>
                <w:sz w:val="22"/>
                <w:szCs w:val="22"/>
              </w:rPr>
              <w:t xml:space="preserve">3) ветераны боевых действий, указанные в </w:t>
            </w:r>
            <w:r>
              <w:fldChar w:fldCharType="begin"/>
            </w:r>
            <w:r>
              <w:rPr>
                <w:sz w:val="22"/>
                <w:szCs w:val="22"/>
                <w:rFonts w:ascii="Arial" w:hAnsi="Arial"/>
              </w:rPr>
              <w:instrText> HYPERLINK "https://www.consultant.ru/document/cons_doc_LAW_541134/815edc9896435be7118ac0d2bfccfcdc4caea94a/" \l "dst325"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t>подпунктах 1</w:t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r>
              <w:rPr>
                <w:rFonts w:ascii="Arial" w:hAnsi="Arial"/>
                <w:sz w:val="22"/>
                <w:szCs w:val="22"/>
              </w:rPr>
              <w:t xml:space="preserve"> - </w:t>
            </w:r>
            <w:r>
              <w:fldChar w:fldCharType="begin"/>
            </w:r>
            <w:r>
              <w:rPr>
                <w:sz w:val="22"/>
                <w:szCs w:val="22"/>
                <w:rFonts w:ascii="Arial" w:hAnsi="Arial"/>
              </w:rPr>
              <w:instrText> HYPERLINK "https://www.consultant.ru/document/cons_doc_LAW_541134/815edc9896435be7118ac0d2bfccfcdc4caea94a/" \l "dst100034"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t>4 пункта 1 статьи 3</w:t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r>
              <w:rPr>
                <w:rFonts w:ascii="Arial" w:hAnsi="Arial"/>
                <w:sz w:val="22"/>
                <w:szCs w:val="22"/>
              </w:rPr>
              <w:t xml:space="preserve"> Федерального закона от 12 января 1995 года № 5-ФЗ "О ветеранах";</w:t>
            </w:r>
          </w:p>
          <w:p>
            <w:pPr>
              <w:pStyle w:val="Style17"/>
              <w:widowControl w:val="false"/>
              <w:spacing w:before="0" w:after="0"/>
              <w:rPr>
                <w:rFonts w:ascii="Arial" w:hAnsi="Arial"/>
                <w:sz w:val="22"/>
                <w:szCs w:val="22"/>
              </w:rPr>
            </w:pPr>
            <w:bookmarkStart w:id="4" w:name="dst25"/>
            <w:bookmarkEnd w:id="4"/>
            <w:r>
              <w:rPr>
                <w:rFonts w:ascii="Arial" w:hAnsi="Arial"/>
                <w:sz w:val="22"/>
                <w:szCs w:val="22"/>
              </w:rPr>
      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      </w:r>
          </w:p>
          <w:p>
            <w:pPr>
              <w:pStyle w:val="Style17"/>
              <w:widowControl w:val="false"/>
              <w:spacing w:before="0" w:after="0"/>
              <w:rPr/>
            </w:pPr>
            <w:bookmarkStart w:id="5" w:name="dst26"/>
            <w:bookmarkStart w:id="6" w:name="dst291"/>
            <w:bookmarkStart w:id="7" w:name="dst360"/>
            <w:bookmarkEnd w:id="5"/>
            <w:bookmarkEnd w:id="6"/>
            <w:bookmarkEnd w:id="7"/>
            <w:r>
              <w:rPr>
                <w:rFonts w:ascii="Arial" w:hAnsi="Arial"/>
                <w:sz w:val="22"/>
                <w:szCs w:val="22"/>
              </w:rPr>
              <w:t>5) лица, награжденные знаком "Жителю блокадного Ленинграда", лица, награжденные знаком "Житель осажденного Севастополя", лица, награжденные знаком "Житель осажденного Сталинграда";</w:t>
            </w:r>
          </w:p>
          <w:p>
            <w:pPr>
              <w:pStyle w:val="Style17"/>
              <w:widowControl w:val="false"/>
              <w:spacing w:before="0" w:after="0"/>
              <w:rPr>
                <w:rFonts w:ascii="Arial" w:hAnsi="Arial"/>
                <w:sz w:val="22"/>
                <w:szCs w:val="22"/>
              </w:rPr>
            </w:pPr>
            <w:bookmarkStart w:id="8" w:name="dst27"/>
            <w:bookmarkEnd w:id="8"/>
            <w:r>
              <w:rPr>
                <w:rFonts w:ascii="Arial" w:hAnsi="Arial"/>
                <w:sz w:val="22"/>
                <w:szCs w:val="22"/>
              </w:rPr>
      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      </w:r>
          </w:p>
          <w:p>
            <w:pPr>
              <w:pStyle w:val="Style17"/>
              <w:widowControl w:val="false"/>
              <w:spacing w:before="0" w:after="0"/>
              <w:rPr>
                <w:rFonts w:ascii="Arial" w:hAnsi="Arial"/>
                <w:sz w:val="22"/>
                <w:szCs w:val="22"/>
              </w:rPr>
            </w:pPr>
            <w:bookmarkStart w:id="9" w:name="dst28"/>
            <w:bookmarkEnd w:id="9"/>
            <w:r>
              <w:rPr>
                <w:rFonts w:ascii="Arial" w:hAnsi="Arial"/>
                <w:sz w:val="22"/>
                <w:szCs w:val="22"/>
              </w:rPr>
              <w:t>7)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  <w:p>
            <w:pPr>
              <w:pStyle w:val="Style17"/>
              <w:widowControl w:val="false"/>
              <w:spacing w:before="0" w:after="0"/>
              <w:rPr>
                <w:rFonts w:ascii="Arial" w:hAnsi="Arial"/>
                <w:sz w:val="22"/>
                <w:szCs w:val="22"/>
              </w:rPr>
            </w:pPr>
            <w:bookmarkStart w:id="10" w:name="dst29"/>
            <w:bookmarkEnd w:id="10"/>
            <w:r>
              <w:rPr>
                <w:rFonts w:ascii="Arial" w:hAnsi="Arial"/>
                <w:sz w:val="22"/>
                <w:szCs w:val="22"/>
              </w:rPr>
              <w:t>8) инвалиды;</w:t>
            </w:r>
          </w:p>
          <w:p>
            <w:pPr>
              <w:pStyle w:val="Style17"/>
              <w:widowControl w:val="false"/>
              <w:spacing w:before="0" w:after="0"/>
              <w:rPr>
                <w:rFonts w:ascii="Arial" w:hAnsi="Arial"/>
                <w:sz w:val="22"/>
                <w:szCs w:val="22"/>
              </w:rPr>
            </w:pPr>
            <w:bookmarkStart w:id="11" w:name="dst30"/>
            <w:bookmarkEnd w:id="11"/>
            <w:r>
              <w:rPr>
                <w:rFonts w:ascii="Arial" w:hAnsi="Arial"/>
                <w:sz w:val="22"/>
                <w:szCs w:val="22"/>
              </w:rPr>
              <w:t>9) дети-инвалиды;</w:t>
            </w:r>
          </w:p>
          <w:p>
            <w:pPr>
              <w:pStyle w:val="Style17"/>
              <w:widowControl w:val="false"/>
              <w:spacing w:before="0" w:after="0"/>
              <w:ind w:left="0" w:right="0" w:hanging="0"/>
              <w:jc w:val="both"/>
              <w:rPr>
                <w:rFonts w:ascii="Arial" w:hAnsi="Arial"/>
                <w:sz w:val="22"/>
                <w:szCs w:val="22"/>
                <w:shd w:fill="auto" w:val="clear"/>
              </w:rPr>
            </w:pPr>
            <w:bookmarkStart w:id="12" w:name="dst507"/>
            <w:bookmarkEnd w:id="12"/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  <w:shd w:fill="auto" w:val="clear"/>
              </w:rPr>
              <w:t>10)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граждан.</w:t>
            </w:r>
          </w:p>
          <w:p>
            <w:pPr>
              <w:pStyle w:val="ConsPlusNormal1"/>
              <w:widowControl w:val="false"/>
              <w:spacing w:before="220" w:after="0"/>
              <w:ind w:hanging="0"/>
              <w:jc w:val="both"/>
              <w:rPr>
                <w:rFonts w:ascii="Arial" w:hAnsi="Arial"/>
                <w:sz w:val="22"/>
                <w:szCs w:val="22"/>
                <w:shd w:fill="E8F2A1" w:val="clear"/>
              </w:rPr>
            </w:pPr>
            <w:r>
              <w:rPr>
                <w:rFonts w:eastAsia="Times New Roman" w:cs="Calibri" w:ascii="Arial" w:hAnsi="Arial"/>
                <w:b/>
                <w:bCs/>
                <w:color w:val="000000"/>
                <w:kern w:val="0"/>
                <w:sz w:val="22"/>
                <w:szCs w:val="22"/>
                <w:shd w:fill="E8F2A1" w:val="clear"/>
                <w:lang w:val="ru-RU" w:eastAsia="ru-RU" w:bidi="ar-SA"/>
              </w:rPr>
              <w:t>Заявитель может воспользоваться услугой через своего законного или уполномоченного представителя</w:t>
            </w:r>
            <w:r>
              <w:rPr>
                <w:rFonts w:eastAsia="Times New Roman" w:cs="Calibri" w:ascii="Arial" w:hAnsi="Arial"/>
                <w:b/>
                <w:bCs/>
                <w:color w:val="000000"/>
                <w:kern w:val="0"/>
                <w:sz w:val="22"/>
                <w:szCs w:val="22"/>
                <w:shd w:fill="E8F2A1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Calibri" w:ascii="Arial" w:hAnsi="Arial"/>
                <w:b/>
                <w:bCs/>
                <w:color w:val="000000"/>
                <w:kern w:val="0"/>
                <w:sz w:val="22"/>
                <w:szCs w:val="22"/>
                <w:shd w:fill="E8F2A1" w:val="clear"/>
                <w:lang w:val="ru-RU" w:eastAsia="ru-RU" w:bidi="ar-SA"/>
              </w:rPr>
              <w:t>Доверенность должна быть нотариально заверена</w:t>
            </w:r>
          </w:p>
        </w:tc>
      </w:tr>
      <w:tr>
        <w:trPr>
          <w:trHeight w:val="885" w:hRule="atLeast"/>
        </w:trPr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Обязательные документы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2"/>
              <w:widowControl w:val="false"/>
              <w:shd w:val="clear" w:fill="FFFFFF"/>
              <w:tabs>
                <w:tab w:val="clear" w:pos="720"/>
                <w:tab w:val="left" w:pos="964" w:leader="none"/>
              </w:tabs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eastAsia="Arial" w:cs="Liberation Serif" w:ascii="Arial" w:hAnsi="Arial"/>
                <w:b w:val="false"/>
                <w:bCs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auto" w:val="clear"/>
                <w:lang w:val="ru-RU"/>
              </w:rPr>
              <w:t xml:space="preserve">-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auto" w:val="clear"/>
                <w:lang w:val="ru-RU"/>
              </w:rPr>
              <w:t>Заявление о п</w:t>
            </w:r>
            <w:r>
              <w:rPr>
                <w:rStyle w:val="12"/>
                <w:rFonts w:eastAsia="ArialMT" w:cs="Liberation Serif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kern w:val="2"/>
                <w:sz w:val="22"/>
                <w:szCs w:val="22"/>
                <w:u w:val="none"/>
                <w:shd w:fill="auto" w:val="clear"/>
                <w:lang w:val="ru-RU" w:eastAsia="zh-CN" w:bidi="ru-RU"/>
              </w:rPr>
              <w:t>редоставлении путевок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auto" w:val="clear"/>
                <w:lang w:val="ru-RU"/>
              </w:rPr>
              <w:t xml:space="preserve"> на санаторно-курортное лечение;</w:t>
            </w:r>
          </w:p>
          <w:p>
            <w:pPr>
              <w:pStyle w:val="ConsPlusNormal1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964" w:leader="none"/>
              </w:tabs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auto" w:val="clear"/>
                <w:lang w:val="ru-RU"/>
              </w:rPr>
              <w:t>- Заявление на предоставление бесплатного проезда к месту лечение и обратно;</w:t>
            </w:r>
          </w:p>
          <w:p>
            <w:pPr>
              <w:pStyle w:val="ConsPlusNormal1"/>
              <w:widowControl w:val="false"/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auto" w:val="clear"/>
                <w:lang w:val="ru-RU"/>
              </w:rPr>
              <w:t xml:space="preserve">- Документ удостоверяющий личность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kern w:val="0"/>
                <w:sz w:val="22"/>
                <w:szCs w:val="22"/>
                <w:u w:val="none"/>
                <w:shd w:fill="auto" w:val="clear"/>
                <w:lang w:val="ru-RU" w:eastAsia="ru-RU" w:bidi="ar-SA"/>
              </w:rPr>
              <w:t>заявителя;</w:t>
            </w:r>
          </w:p>
          <w:p>
            <w:pPr>
              <w:pStyle w:val="ConsPlusNormal1"/>
              <w:widowControl w:val="false"/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kern w:val="0"/>
                <w:sz w:val="22"/>
                <w:szCs w:val="22"/>
                <w:u w:val="none"/>
                <w:shd w:fill="auto" w:val="clear"/>
                <w:lang w:val="ru-RU" w:eastAsia="ru-RU" w:bidi="ar-SA"/>
              </w:rPr>
              <w:t>- Документ удостоверяющий личность представителя заявителя ( в случае обращения законного / уполномоченного представителя заявителя);</w:t>
            </w:r>
          </w:p>
          <w:p>
            <w:pPr>
              <w:pStyle w:val="ConsPlusNormal1"/>
              <w:widowControl w:val="false"/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  <w:shd w:fill="D4EA6B" w:val="clear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D4EA6B" w:val="clear"/>
                <w:lang w:val="ru-RU"/>
              </w:rPr>
              <w:t xml:space="preserve">- Документ подтверждающий полномочия представителя заявителя (доверенность, оформленная в соответствии со статьей 185 и пунктом 1 статьи 185.1 Гражданского кодекса Российской Федерации);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FFD428" w:val="clear"/>
                <w:lang w:val="ru-RU"/>
              </w:rPr>
              <w:t>нотариальная</w:t>
            </w:r>
          </w:p>
          <w:p>
            <w:pPr>
              <w:pStyle w:val="ConsPlusNormal1"/>
              <w:widowControl w:val="false"/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  <w:shd w:fill="D4EA6B" w:val="clear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D4EA6B" w:val="clear"/>
                <w:lang w:val="ru-RU"/>
              </w:rPr>
              <w:t>- Справка для получения путевки на санаторно-курортное лечение (учетная форма № 070/у);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D4EA6B" w:val="clear"/>
                <w:lang w:val="ru-RU"/>
              </w:rPr>
              <w:t xml:space="preserve">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FFD428" w:val="clear"/>
                <w:lang w:val="ru-RU"/>
              </w:rPr>
              <w:t>получают у терапевта в поликлинике по месту жительства</w:t>
            </w:r>
          </w:p>
          <w:p>
            <w:pPr>
              <w:pStyle w:val="ConsPlusNormal1"/>
              <w:widowControl w:val="false"/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sz w:val="22"/>
                <w:szCs w:val="22"/>
                <w:u w:val="none"/>
                <w:shd w:fill="auto" w:val="clear"/>
                <w:lang w:val="ru-RU"/>
              </w:rPr>
              <w:t>- Направление к месту лечения для получения медицинской помощи;</w:t>
            </w:r>
          </w:p>
          <w:p>
            <w:pPr>
              <w:pStyle w:val="ConsPlusNormal1"/>
              <w:widowControl w:val="false"/>
              <w:tabs>
                <w:tab w:val="clear" w:pos="720"/>
                <w:tab w:val="left" w:pos="964" w:leader="none"/>
              </w:tabs>
              <w:suppressAutoHyphens w:val="false"/>
              <w:spacing w:lineRule="auto" w:line="240" w:before="0" w:after="0"/>
              <w:ind w:left="0" w:right="0" w:hanging="0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Style w:val="12"/>
                <w:rFonts w:eastAsia="Arial" w:cs="Arial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pacing w:val="-1"/>
                <w:kern w:val="2"/>
                <w:sz w:val="22"/>
                <w:szCs w:val="22"/>
                <w:u w:val="none"/>
                <w:shd w:fill="auto" w:val="clear"/>
                <w:lang w:val="ru-RU" w:eastAsia="zh-CN" w:bidi="ru-RU"/>
              </w:rPr>
              <w:t>- Талон № 2 на получение специальных талонов (именных направлений) на проезд к месту лечения для получения медицинской помощи.</w:t>
            </w:r>
          </w:p>
        </w:tc>
      </w:tr>
      <w:tr>
        <w:trPr/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/>
                <w:b w:val="false"/>
                <w:b w:val="false"/>
                <w:bCs w:val="false"/>
                <w:sz w:val="24"/>
                <w:szCs w:val="24"/>
                <w:shd w:fill="FFBF00" w:val="clear"/>
              </w:rPr>
            </w:pPr>
            <w:r>
              <w:rPr>
                <w:rFonts w:ascii="Arial" w:hAnsi="Arial"/>
                <w:b w:val="false"/>
                <w:bCs w:val="false"/>
                <w:sz w:val="24"/>
                <w:szCs w:val="24"/>
                <w:shd w:fill="FFBF00" w:val="clear"/>
              </w:rPr>
              <w:t>Предоставление путевок на санаторно-курортное лечение в рамках набора социальных услуг: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/>
                <w:b w:val="false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sz w:val="22"/>
                <w:szCs w:val="22"/>
                <w:shd w:fill="auto" w:val="clear"/>
              </w:rPr>
              <w:t>- Постановка на учет в территориальном органе Фонда в целях обеспечения санаторно-курортным лечением и бесплатным проездом на междугородном транспорте к месту лечения и обратно;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Arial"/>
                <w:b w:val="false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u w:val="none"/>
                <w:shd w:fill="auto" w:val="clear"/>
                <w:lang w:val="ru-RU"/>
              </w:rPr>
              <w:t>- Реестровая запись, вносимая в государственную информационную систему "Единая централизованная цифровая платформа в социальной сфере"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shd w:fill="FFBF00" w:val="clear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  <w:shd w:fill="FFBF00" w:val="clear"/>
                <w:lang w:val="ru-RU"/>
              </w:rPr>
              <w:t>Предоставление бесплатного проезда к месту лечения и обратно: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- Специальный талон на право бесплатного получения проездных документов в поезде дальнего следования и (или) именное направление на приобретение проездных документов на авиационном, автомобильном и водном транспорте;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Arial"/>
                <w:b w:val="false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u w:val="none"/>
                <w:shd w:fill="auto" w:val="clear"/>
                <w:lang w:val="ru-RU"/>
              </w:rPr>
              <w:t>- Реестровая запись, вносимая в государственную информационную систему "Единая централизованная цифровая платформа в социальной сфере"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Arial"/>
                <w:b w:val="false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sz w:val="22"/>
                <w:szCs w:val="22"/>
                <w:shd w:fill="auto" w:val="clear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Arial" w:hAnsi="Arial" w:cs="Arial"/>
                <w:b w:val="false"/>
                <w:b w:val="false"/>
                <w:bCs w:val="false"/>
                <w:sz w:val="22"/>
                <w:szCs w:val="22"/>
                <w:shd w:fill="FFD428" w:val="clear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u w:val="none"/>
                <w:shd w:fill="FFD428" w:val="clear"/>
                <w:lang w:val="ru-RU"/>
              </w:rPr>
              <w:t xml:space="preserve">Выдача результата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u w:val="none"/>
                <w:shd w:fill="FFD428" w:val="clear"/>
                <w:lang w:val="ru-RU"/>
              </w:rPr>
              <w:t xml:space="preserve">оказания услуги </w:t>
            </w:r>
            <w:r>
              <w:rPr>
                <w:rFonts w:cs="Arial" w:ascii="Arial" w:hAnsi="Arial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u w:val="none"/>
                <w:shd w:fill="FFD428" w:val="clear"/>
                <w:lang w:val="ru-RU"/>
              </w:rPr>
              <w:t>в ГБУ «МФЦ» не предусмотрена</w:t>
            </w:r>
          </w:p>
        </w:tc>
      </w:tr>
      <w:tr>
        <w:trPr>
          <w:trHeight w:val="1171" w:hRule="atLeast"/>
        </w:trPr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Срок предоставления услуги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/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Вне зависимости от способа подачи заявления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u w:val="single"/>
                <w:shd w:fill="E8F2A1" w:val="clear"/>
              </w:rPr>
              <w:t xml:space="preserve"> на санаторно-курортное лечение - 8 рабочих дней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shd w:fill="E8F2A1" w:val="clear"/>
              </w:rPr>
              <w:t>;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ConsPlusNormal1"/>
              <w:widowControl w:val="false"/>
              <w:spacing w:lineRule="auto" w:line="240" w:before="0" w:after="0"/>
              <w:ind w:hanging="0"/>
              <w:jc w:val="both"/>
              <w:rPr/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Вне зависимости от способа подачи заявления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u w:val="single"/>
                <w:shd w:fill="E8F2A1" w:val="clear"/>
              </w:rPr>
              <w:t>на бесплатный проезд - 9 рабочих дней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shd w:fill="E8F2A1" w:val="clear"/>
              </w:rPr>
              <w:t>.</w:t>
            </w:r>
          </w:p>
        </w:tc>
      </w:tr>
      <w:tr>
        <w:trPr/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  <w:lang w:val="ru-RU"/>
              </w:rPr>
              <w:t>- Н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еустановление личности лица, обратившегося за предоставлением государственной услуги (непредъявление данным лицом документа, удостоверяющего его личность, отказ данного лица предъявить документ, удостоверяющий его личность, предъявление документа, удостоверяющего личность, с истекшим сроком действия);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 Неподтверждение полномочий законного (уполномоченного) представителя заявителя.</w:t>
            </w:r>
          </w:p>
        </w:tc>
      </w:tr>
      <w:tr>
        <w:trPr>
          <w:trHeight w:val="626" w:hRule="atLeast"/>
        </w:trPr>
        <w:tc>
          <w:tcPr>
            <w:tcW w:w="231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0"/>
                <w:szCs w:val="20"/>
                <w:lang w:eastAsia="ru-RU"/>
              </w:rPr>
              <w:t>Административный регламент</w:t>
            </w:r>
          </w:p>
        </w:tc>
        <w:tc>
          <w:tcPr>
            <w:tcW w:w="13118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1"/>
              <w:widowControl w:val="false"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Arial" w:hAnsi="Arial" w:cs="Liberation Serif"/>
                <w:b w:val="false"/>
                <w:b w:val="false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eastAsia="Calibri" w:cs="Liberation Serif" w:ascii="Arial" w:hAnsi="Arial"/>
                <w:b w:val="false"/>
                <w:bCs w:val="false"/>
                <w:i w:val="false"/>
                <w:iCs w:val="false"/>
                <w:color w:val="000000"/>
                <w:spacing w:val="-1"/>
                <w:w w:val="105"/>
                <w:kern w:val="2"/>
                <w:sz w:val="22"/>
                <w:szCs w:val="22"/>
                <w:shd w:fill="auto" w:val="clear"/>
                <w:lang w:eastAsia="zh-CN" w:bidi="hi-IN"/>
              </w:rPr>
              <w:t>Приказ СФР от 07.04.2026 № 346 "Об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"Обеспечение граждан, имеющих право на получение государственной социальной помощи в виде набора социальных услуг, санаторно-курортным лечением и бесплатным проездом на междугородном транспорте к месту лечения и обратно"</w:t>
            </w:r>
          </w:p>
        </w:tc>
      </w:tr>
      <w:tr>
        <w:trPr>
          <w:trHeight w:val="626" w:hRule="atLeast"/>
        </w:trPr>
        <w:tc>
          <w:tcPr>
            <w:tcW w:w="2319" w:type="dxa"/>
            <w:tcBorders>
              <w:bottom w:val="single" w:sz="6" w:space="0" w:color="EDEDED"/>
              <w:right w:val="single" w:sz="6" w:space="0" w:color="EDEDED"/>
            </w:tcBorders>
            <w:shd w:color="auto" w:fill="DBE5F1" w:themeFill="accent1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403152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3118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1"/>
              <w:widowControl w:val="false"/>
              <w:shd w:val="clear" w:fill="FFFFFF"/>
              <w:spacing w:lineRule="auto" w:line="240" w:before="0" w:after="0"/>
              <w:ind w:left="0" w:right="0" w:hanging="0"/>
              <w:jc w:val="left"/>
              <w:rPr>
                <w:rFonts w:ascii="Arial" w:hAnsi="Arial" w:cs="Liberation Serif"/>
                <w:b w:val="false"/>
                <w:b w:val="false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cs="Liberation Serif" w:ascii="Arial" w:hAnsi="Arial"/>
                <w:b w:val="false"/>
                <w:color w:val="000000"/>
                <w:sz w:val="22"/>
                <w:szCs w:val="22"/>
                <w:shd w:fill="auto" w:val="clear"/>
              </w:rPr>
              <w:t>У заявителя должно быть сохранено право на НСУ (удостовериться можно заказав справку). Если отказ от НСУ полностью, или от сан-кура, проезда то орган вынесет отказ в предоставлении услуги</w:t>
              <w:br/>
              <w:t>Санаторий выбрать нельзя, будет тот который участвует в закупке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header="0" w:top="426" w:footer="0" w:bottom="85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 w:customStyle="1">
    <w:name w:val="Интернет-ссылка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yle15">
    <w:name w:val="Выделение"/>
    <w:basedOn w:val="DefaultParagraphFont"/>
    <w:uiPriority w:val="20"/>
    <w:qFormat/>
    <w:rsid w:val="008160b2"/>
    <w:rPr>
      <w:i/>
      <w:iCs/>
    </w:rPr>
  </w:style>
  <w:style w:type="character" w:styleId="ConsPlusNormal" w:customStyle="1">
    <w:name w:val="ConsPlusNormal Знак"/>
    <w:basedOn w:val="DefaultParagraphFont"/>
    <w:link w:val="ConsPlusNormal"/>
    <w:qFormat/>
    <w:locked/>
    <w:rsid w:val="00575d31"/>
    <w:rPr>
      <w:rFonts w:ascii="Calibri" w:hAnsi="Calibri" w:eastAsia="Times New Roman" w:cs="Calibri"/>
      <w:szCs w:val="20"/>
      <w:lang w:eastAsia="ru-RU"/>
    </w:rPr>
  </w:style>
  <w:style w:type="character" w:styleId="Ngscope" w:customStyle="1">
    <w:name w:val="ng-scope"/>
    <w:basedOn w:val="DefaultParagraphFont"/>
    <w:qFormat/>
    <w:rsid w:val="000f6416"/>
    <w:rPr/>
  </w:style>
  <w:style w:type="character" w:styleId="Strong">
    <w:name w:val="Strong"/>
    <w:basedOn w:val="DefaultParagraphFont"/>
    <w:uiPriority w:val="22"/>
    <w:qFormat/>
    <w:rsid w:val="00d7434a"/>
    <w:rPr>
      <w:b/>
      <w:bCs/>
    </w:rPr>
  </w:style>
  <w:style w:type="character" w:styleId="DefaultFontStyle" w:customStyle="1">
    <w:name w:val="DefaultFontStyle"/>
    <w:qFormat/>
    <w:rPr>
      <w:rFonts w:ascii="Courier New" w:hAnsi="Courier New" w:eastAsia="Courier New" w:cs="Courier New"/>
      <w:color w:val="000000"/>
      <w:spacing w:val="0"/>
      <w:w w:val="100"/>
      <w:position w:val="0"/>
      <w:sz w:val="24"/>
      <w:sz w:val="24"/>
      <w:szCs w:val="24"/>
      <w:vertAlign w:val="baseline"/>
      <w:lang w:val="ru-RU" w:eastAsia="ru-RU" w:bidi="ru-RU"/>
    </w:rPr>
  </w:style>
  <w:style w:type="character" w:styleId="CharStyle12" w:customStyle="1">
    <w:name w:val="CharStyle12"/>
    <w:basedOn w:val="DefaultFontStyle"/>
    <w:qFormat/>
    <w:rPr>
      <w:rFonts w:ascii="Microsoft Sans Serif" w:hAnsi="Microsoft Sans Serif" w:eastAsia="Microsoft Sans Serif" w:cs="Microsoft Sans Serif"/>
      <w:b w:val="false"/>
      <w:bCs w:val="false"/>
      <w:i w:val="false"/>
      <w:iCs w:val="false"/>
      <w:strike w:val="false"/>
      <w:dstrike w:val="false"/>
      <w:color w:val="000000"/>
      <w:spacing w:val="0"/>
      <w:w w:val="100"/>
      <w:position w:val="0"/>
      <w:sz w:val="23"/>
      <w:sz w:val="23"/>
      <w:szCs w:val="23"/>
      <w:u w:val="none"/>
      <w:vertAlign w:val="baseline"/>
      <w:lang w:val="ru-RU" w:eastAsia="ru-RU" w:bidi="ru-RU"/>
    </w:rPr>
  </w:style>
  <w:style w:type="character" w:styleId="12">
    <w:name w:val="Основной шрифт абзаца1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4"/>
      <w:sz w:val="24"/>
      <w:szCs w:val="24"/>
      <w:u w:val="none"/>
      <w:vertAlign w:val="baseline"/>
      <w:lang w:val="ru-RU" w:bidi="ru-RU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1" w:customStyle="1">
    <w:name w:val="ConsPlusNormal"/>
    <w:qFormat/>
    <w:rsid w:val="0039620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text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6510d7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2">
    <w:name w:val="Основной текст (2)"/>
    <w:basedOn w:val="Normal"/>
    <w:qFormat/>
    <w:pPr>
      <w:widowControl w:val="false"/>
      <w:shd w:val="clear" w:fill="FFFFFF"/>
      <w:suppressAutoHyphens w:val="false"/>
      <w:spacing w:lineRule="exact" w:line="322" w:before="300" w:after="0"/>
      <w:ind w:left="0" w:right="0" w:hanging="900"/>
      <w:jc w:val="both"/>
    </w:pPr>
    <w:rPr>
      <w:sz w:val="28"/>
      <w:szCs w:val="28"/>
      <w:lang w:val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4">
    <w:name w:val="WW8Num1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LibreOffice/7.0.4.2$Windows_X86_64 LibreOffice_project/dcf040e67528d9187c66b2379df5ea4407429775</Application>
  <AppVersion>15.0000</AppVersion>
  <Pages>3</Pages>
  <Words>706</Words>
  <Characters>4915</Characters>
  <CharactersWithSpaces>5579</CharactersWithSpaces>
  <Paragraphs>44</Paragraphs>
  <Company>КонсультантПлюс Версия 4022.00.09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2024-06-11T04:00:00Z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2026-09-21T12:24:59Z</dcterms:modified>
  <cp:revision>24</cp:revision>
  <dc:subject/>
  <dc:title>Приказ Департамента природных ресурсов и охраны окружающей среды Курганской области от 20.12.2019 N 651(ред. от 14.11.2022)"Об утверждении Административного регламента предоставления Департаментом гражданской защиты, охраны окружающей среды и природных ресурсов Курганской области государственной услуги по выдаче и аннулированию охотничьих билетов"(вместе с "Заявлением о получении охотничьего билета единого федерального образца", "Заявлением о замене охотничьего билета единого федерального образца в связи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