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589"/>
        <w:gridCol w:w="12853"/>
      </w:tblGrid>
      <w:tr>
        <w:trPr>
          <w:trHeight w:val="571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0"/>
              </w:numPr>
              <w:spacing w:lineRule="auto" w:line="276" w:before="0" w:after="200"/>
              <w:ind w:hanging="0" w:left="0"/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  <w:bookmarkStart w:id="0" w:name="_Hlk188960829_Копия_1"/>
            <w:bookmarkStart w:id="1" w:name="_Hlk179475350_Копия_1"/>
            <w:r>
              <w:rPr>
                <w:rFonts w:eastAsia="Times New Roman" w:cs="Times New Roman" w:ascii="Arial" w:hAnsi="Arial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Услуга по </w:t>
            </w:r>
            <w:bookmarkEnd w:id="0"/>
            <w:bookmarkEnd w:id="1"/>
            <w:r>
              <w:rPr>
                <w:rFonts w:eastAsia="Times New Roman" w:cs="Times New Roman" w:ascii="Arial" w:hAnsi="Arial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>исключению информации о физическом лице из перечня физических лиц, отказавшихся от участия в азартных играх</w:t>
            </w:r>
          </w:p>
        </w:tc>
      </w:tr>
      <w:tr>
        <w:trPr>
          <w:trHeight w:val="645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Times New Roman" w:cs="Times New Roman"/>
                <w:i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</w:pPr>
            <w:r>
              <w:rPr>
                <w:rFonts w:eastAsia="Times New Roman" w:cs="Arial" w:ascii="Liberation Sans" w:hAnsi="Liberation Sans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  <w:t>публично-правовая компания «Единый регулятор азартных игр»</w:t>
            </w:r>
          </w:p>
        </w:tc>
      </w:tr>
      <w:tr>
        <w:trPr>
          <w:trHeight w:val="574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color w:val="2C2A29"/>
                <w:sz w:val="20"/>
                <w:szCs w:val="20"/>
                <w:shd w:fill="FFFFFF" w:val="clear"/>
              </w:rPr>
              <w:t xml:space="preserve">Получателями услуги являются физические лица: </w:t>
            </w:r>
            <w:r>
              <w:rPr>
                <w:rFonts w:cs="Arial" w:ascii="Arial" w:hAnsi="Arial"/>
                <w:b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shd w:fill="auto" w:val="clear"/>
                <w:lang w:val="ru-RU"/>
              </w:rPr>
              <w:t>Граждане РФ, иностранные лица и лица без гражданства</w:t>
            </w:r>
            <w:r>
              <w:rPr>
                <w:rFonts w:cs="Arial" w:ascii="Arial" w:hAnsi="Arial"/>
                <w:color w:val="2C2A29"/>
                <w:sz w:val="20"/>
                <w:szCs w:val="20"/>
                <w:shd w:fill="auto" w:val="clear"/>
                <w:lang w:val="ru-RU"/>
              </w:rPr>
              <w:t xml:space="preserve">, достигшие 18 лет, </w:t>
            </w:r>
            <w:r>
              <w:rPr>
                <w:rFonts w:cs="Arial" w:ascii="Arial" w:hAnsi="Arial"/>
                <w:color w:val="2C2A29"/>
                <w:sz w:val="20"/>
                <w:szCs w:val="20"/>
                <w:shd w:fill="auto" w:val="clear"/>
                <w:lang w:val="ru-RU"/>
              </w:rPr>
              <w:t>лично</w:t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Times New Roman" w:cs="Times New Roman"/>
                <w:i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</w:pPr>
            <w:r>
              <w:rPr>
                <w:rFonts w:eastAsia="Times New Roman" w:cs="Arial" w:ascii="Liberation Sans" w:hAnsi="Liberation Sans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  <w:t>публично-правовая компания «Единый регулятор азартных игр»</w:t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Заявление о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  <w:lang w:val="ru-RU"/>
              </w:rPr>
              <w:t>б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  <w:lang w:val="ru-RU"/>
              </w:rPr>
              <w:t>ис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 xml:space="preserve">ключении информации о физическом лице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  <w:lang w:val="ru-RU"/>
              </w:rPr>
              <w:t>из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 xml:space="preserve"> переч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  <w:lang w:val="ru-RU"/>
              </w:rPr>
              <w:t>ня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 xml:space="preserve"> физических лиц, отказавшихся от участия в азартных играх;</w:t>
            </w:r>
          </w:p>
          <w:p>
            <w:pPr>
              <w:pStyle w:val="Normal"/>
              <w:ind w:hanging="0" w:left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eastAsia="ru-RU"/>
              </w:rPr>
              <w:t>-</w:t>
            </w: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val="ru-RU" w:eastAsia="ru-RU"/>
              </w:rPr>
              <w:t>С</w:t>
            </w: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eastAsia="ru-RU"/>
              </w:rPr>
              <w:t xml:space="preserve">огласие субъекта персональных данных на обработку его персональных данных </w:t>
            </w: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val="ru-RU" w:eastAsia="ru-RU"/>
              </w:rPr>
              <w:t>по форме ППК «ЕРАИ»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rFonts w:ascii="Arial" w:hAnsi="Arial" w:eastAsia="Times New Roman" w:cs="Arial"/>
                <w:b w:val="false"/>
                <w:bCs w:val="false"/>
                <w:i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val="ru-RU"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val="ru-RU" w:eastAsia="ru-RU"/>
              </w:rPr>
              <w:t>- Идентификационный номер налогоплательщика для внесения данных в заявление (ИНН)</w:t>
            </w:r>
          </w:p>
        </w:tc>
      </w:tr>
      <w:tr>
        <w:trPr>
          <w:trHeight w:val="708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Times New Roman" w:cs="Times New Roman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Заявителю возвращается подписанное им заявление и согласие на обработку персональных данных.</w:t>
            </w:r>
          </w:p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 xml:space="preserve">В течение 12 часов с момента получения заявления ППК «Единый регулятор азартных игр» информация о лице </w:t>
            </w: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иск</w:t>
            </w: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 xml:space="preserve">лючается </w:t>
            </w: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из</w:t>
            </w: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 xml:space="preserve"> Переч</w:t>
            </w: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ня</w:t>
            </w: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. Любое лицо вправе посредством ЕПГУ проверить свой статус нахождения в Перечне (услуга «Сведения о наличии в перечне отказавшихся от участия в азартных играх»).</w:t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 непредъявление физическим лицом документа, удостоверяющего личность;</w:t>
            </w:r>
          </w:p>
          <w:p>
            <w:pPr>
              <w:pStyle w:val="Normal"/>
              <w:spacing w:before="200" w:after="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 непредъявление иностранным гражданином или лицом без гражданства нотариально заверенного перевода документа, удостоверяющего его личность, на русский язык;</w:t>
            </w:r>
          </w:p>
          <w:p>
            <w:pPr>
              <w:pStyle w:val="Normal"/>
              <w:spacing w:before="200" w:after="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 непредъявление физическим лицом согласия субъекта персональных данных на обработку его персональных данных;</w:t>
            </w:r>
          </w:p>
          <w:p>
            <w:pPr>
              <w:pStyle w:val="Normal"/>
              <w:spacing w:before="200" w:after="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 неподтверждение сотрудником многофункционального центра личности физического лица;</w:t>
            </w:r>
          </w:p>
          <w:p>
            <w:pPr>
              <w:pStyle w:val="Normal"/>
              <w:spacing w:before="200" w:after="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 недостижение физическим лицом возраста восемнадцати лет;</w:t>
            </w:r>
          </w:p>
          <w:p>
            <w:pPr>
              <w:pStyle w:val="Normal"/>
              <w:spacing w:before="200" w:after="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  <w:lang w:eastAsia="ru-RU"/>
              </w:rPr>
              <w:t>- несообщение физическим лицом идентификационного номера налогоплательщика.</w:t>
            </w:r>
          </w:p>
        </w:tc>
      </w:tr>
      <w:tr>
        <w:trPr>
          <w:trHeight w:val="431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Arial" w:ascii="Arial" w:hAnsi="Arial"/>
                <w:color w:val="2C2A29"/>
                <w:sz w:val="20"/>
                <w:szCs w:val="20"/>
                <w:shd w:fill="FFFFFF" w:val="clear"/>
              </w:rPr>
              <w:t>Услуга предоставляется бесплатно</w:t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МФЦ после направления заявления дальнейшее сопровождение обращения не осуществляет. Дальнейший статус по рассмотрению услуги заявитель отслеживает в личном кабинете на портале «Госуслуг» (услуга «Сведения о наличии в перечне отказавшихся от участия в азартных играх»).</w:t>
            </w:r>
          </w:p>
        </w:tc>
      </w:tr>
      <w:tr>
        <w:trPr>
          <w:trHeight w:val="626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Times New Roman" w:ascii="Arial" w:hAnsi="Arial"/>
                <w:b w:val="false"/>
                <w:color w:val="000000"/>
                <w:kern w:val="0"/>
                <w:sz w:val="20"/>
                <w:szCs w:val="20"/>
              </w:rPr>
              <w:t>1.                                                                        Федеральн</w:t>
            </w:r>
            <w:r>
              <w:rPr>
                <w:rFonts w:eastAsia="Calibri" w:cs="Times New Roman" w:ascii="Arial" w:hAnsi="Arial"/>
                <w:b w:val="false"/>
                <w:color w:val="000000"/>
                <w:kern w:val="0"/>
                <w:sz w:val="20"/>
                <w:szCs w:val="20"/>
                <w:lang w:val="ru-RU"/>
              </w:rPr>
              <w:t xml:space="preserve">ый </w:t>
            </w:r>
            <w:r>
              <w:rPr>
                <w:rFonts w:eastAsia="Calibri" w:cs="Times New Roman" w:ascii="Arial" w:hAnsi="Arial"/>
                <w:b w:val="false"/>
                <w:color w:val="000000"/>
                <w:kern w:val="0"/>
                <w:sz w:val="20"/>
                <w:szCs w:val="20"/>
              </w:rPr>
              <w:t>закон</w:t>
              <w:br/>
              <w:t>от 29.12.2025 № 575-ФЗ «О внесении изменений в отдельные законодательные акты Российской Федерации».</w:t>
            </w:r>
          </w:p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Calibri" w:cs="Times New Roman"/>
                <w:b w:val="false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Arial" w:hAnsi="Arial"/>
                <w:b w:val="false"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 w:ascii="Arial" w:hAnsi="Arial"/>
                <w:b w:val="false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eastAsia="Calibri" w:cs="Times New Roman" w:ascii="Arial" w:hAnsi="Arial"/>
                <w:b w:val="false"/>
                <w:i w:val="false"/>
                <w:strike w:val="false"/>
                <w:dstrike w:val="false"/>
                <w:color w:val="000000"/>
                <w:kern w:val="0"/>
                <w:sz w:val="20"/>
                <w:szCs w:val="20"/>
                <w:u w:val="none"/>
              </w:rPr>
              <w:t xml:space="preserve">Приказ Минфина России от 24.03.2026 N 34н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"Об утверждении формы заявления о включении информации о физическом лице в перечень физических лиц, отказавшихся от участия в азартных играх, формы заявления об исключении информации о физическом лице из перечня физических лиц, отказавшихся от участия в азартных играх, их формата, формы согласия субъекта персональных данных на обработку его персональных данных, прилагаемого к таким заявлениям, а также Порядка подачи заявлений о включении информации о физическом лице в перечень физических лиц, отказавшихся от участия в азартных играх, заявлений об исключении информации о физическом лице из перечня физических лиц, отказавшихся от участия в азартных играх, через многофункциональный центр предоставления государственных и муниципальных услуг и их передачи в публично-правовую компанию "Единый регулятор азартных игр"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Arial">
    <w:charset w:val="01"/>
    <w:family w:val="swiss"/>
    <w:pitch w:val="variable"/>
  </w:font>
  <w:font w:name="Arial">
    <w:charset w:val="cc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217" w:hanging="708"/>
      </w:pPr>
      <w:rPr>
        <w:sz w:val="24"/>
        <w:rFonts w:ascii="Arial" w:hAnsi="Arial" w:eastAsia="Times New Roman" w:cs="Liberation Sans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48" w:hanging="70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77" w:hanging="70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70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34" w:hanging="70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62" w:hanging="70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91" w:hanging="70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9" w:hanging="70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48" w:hanging="708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6f233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303d0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ng-scope" w:customStyle="1">
    <w:name w:val="ng-scope"/>
    <w:basedOn w:val="Normal"/>
    <w:qFormat/>
    <w:rsid w:val="00136b9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1"/>
    <w:basedOn w:val="Normal"/>
    <w:qFormat/>
    <w:rsid w:val="006f233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LibreOffice/25.2.5.2$Windows_X86_64 LibreOffice_project/03d19516eb2e1dd5d4ccd751a0d6f35f35e08022</Application>
  <AppVersion>15.0000</AppVersion>
  <Pages>2</Pages>
  <Words>403</Words>
  <Characters>2819</Characters>
  <CharactersWithSpaces>3262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2024-02-20T05:52:00Z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2026-08-24T11:38:11Z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