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5443" w:type="dxa"/>
        <w:jc w:val="left"/>
        <w:tblInd w:w="135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2589"/>
        <w:gridCol w:w="12853"/>
      </w:tblGrid>
      <w:tr>
        <w:trPr>
          <w:trHeight w:val="571" w:hRule="atLeast"/>
        </w:trPr>
        <w:tc>
          <w:tcPr>
            <w:tcW w:w="258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color w:themeColor="accent4" w:themeShade="80" w:val="403152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themeColor="accent4" w:themeShade="80" w:val="403152"/>
                <w:sz w:val="21"/>
                <w:szCs w:val="21"/>
                <w:lang w:eastAsia="ru-RU"/>
              </w:rPr>
              <w:t>Наименование услуги</w:t>
            </w:r>
          </w:p>
        </w:tc>
        <w:tc>
          <w:tcPr>
            <w:tcW w:w="1285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/>
                <w:b w:val="false"/>
                <w:bCs w:val="false"/>
                <w:color w:val="auto"/>
                <w:sz w:val="20"/>
                <w:szCs w:val="20"/>
              </w:rPr>
            </w:pPr>
            <w:r>
              <w:rPr>
                <w:rFonts w:eastAsia="Times New Roman" w:cs="Times New Roman" w:ascii="Arial" w:hAnsi="Arial"/>
                <w:b/>
                <w:bCs/>
                <w:color w:val="auto"/>
                <w:sz w:val="20"/>
                <w:szCs w:val="20"/>
                <w:lang w:eastAsia="ru-RU"/>
              </w:rPr>
              <w:t>Услуга по включению информации о физическом лице в перечень физических лиц, отказавшихся от участия в азартных играх</w:t>
            </w:r>
          </w:p>
        </w:tc>
      </w:tr>
      <w:tr>
        <w:trPr>
          <w:trHeight w:val="645" w:hRule="atLeast"/>
        </w:trPr>
        <w:tc>
          <w:tcPr>
            <w:tcW w:w="258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color w:themeColor="accent4" w:themeShade="80" w:val="403152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themeColor="accent4" w:themeShade="80" w:val="403152"/>
                <w:sz w:val="21"/>
                <w:szCs w:val="21"/>
                <w:lang w:eastAsia="ru-RU"/>
              </w:rPr>
              <w:t>Ответственный орган</w:t>
            </w:r>
          </w:p>
        </w:tc>
        <w:tc>
          <w:tcPr>
            <w:tcW w:w="1285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ind w:hanging="0" w:left="0"/>
              <w:jc w:val="both"/>
              <w:rPr>
                <w:rFonts w:ascii="Arial" w:hAnsi="Arial" w:eastAsia="Times New Roman" w:cs="Times New Roman"/>
                <w:i w:val="false"/>
                <w:i w:val="false"/>
                <w:iCs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shd w:fill="FFFFFF" w:val="clear"/>
                <w:lang w:val="ru-RU"/>
              </w:rPr>
            </w:pPr>
            <w:r>
              <w:rPr>
                <w:rFonts w:eastAsia="Times New Roman" w:cs="Arial" w:ascii="Liberation Sans" w:hAnsi="Liberation Sans"/>
                <w:i w:val="false"/>
                <w:iCs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shd w:fill="FFFFFF" w:val="clear"/>
                <w:lang w:val="ru-RU"/>
              </w:rPr>
              <w:t>публично-правовая компания «Единый регулятор азартных игр»</w:t>
            </w:r>
          </w:p>
        </w:tc>
      </w:tr>
      <w:tr>
        <w:trPr>
          <w:trHeight w:val="574" w:hRule="atLeast"/>
        </w:trPr>
        <w:tc>
          <w:tcPr>
            <w:tcW w:w="258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color w:themeColor="accent4" w:themeShade="80" w:val="403152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themeColor="accent4" w:themeShade="80" w:val="403152"/>
                <w:sz w:val="21"/>
                <w:szCs w:val="21"/>
                <w:lang w:eastAsia="ru-RU"/>
              </w:rPr>
              <w:t>Получатели услуги</w:t>
            </w:r>
          </w:p>
        </w:tc>
        <w:tc>
          <w:tcPr>
            <w:tcW w:w="1285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spacing w:lineRule="auto" w:line="240" w:beforeAutospacing="1" w:after="0"/>
              <w:jc w:val="both"/>
              <w:rPr>
                <w:sz w:val="20"/>
                <w:szCs w:val="20"/>
              </w:rPr>
            </w:pPr>
            <w:r>
              <w:rPr>
                <w:rFonts w:cs="Arial" w:ascii="Arial" w:hAnsi="Arial"/>
                <w:color w:val="2C2A29"/>
                <w:sz w:val="20"/>
                <w:szCs w:val="20"/>
                <w:shd w:fill="FFFFFF" w:val="clear"/>
              </w:rPr>
              <w:t xml:space="preserve">Получателями услуги являются физические лица: </w:t>
            </w:r>
            <w:r>
              <w:rPr>
                <w:rFonts w:cs="Arial" w:ascii="Arial" w:hAnsi="Arial"/>
                <w:b w:val="false"/>
                <w:i w:val="false"/>
                <w:strike w:val="false"/>
                <w:dstrike w:val="false"/>
                <w:color w:val="2C2A29"/>
                <w:sz w:val="20"/>
                <w:szCs w:val="20"/>
                <w:u w:val="none"/>
                <w:shd w:fill="auto" w:val="clear"/>
                <w:lang w:val="ru-RU"/>
              </w:rPr>
              <w:t>Граждане РФ, иностранные лица и лица без гражданства</w:t>
            </w:r>
            <w:r>
              <w:rPr>
                <w:rFonts w:cs="Arial" w:ascii="Arial" w:hAnsi="Arial"/>
                <w:color w:val="2C2A29"/>
                <w:sz w:val="20"/>
                <w:szCs w:val="20"/>
                <w:shd w:fill="auto" w:val="clear"/>
                <w:lang w:val="ru-RU"/>
              </w:rPr>
              <w:t xml:space="preserve">, достигшие 18 лет, </w:t>
            </w:r>
            <w:r>
              <w:rPr>
                <w:rFonts w:cs="Arial" w:ascii="Arial" w:hAnsi="Arial"/>
                <w:color w:val="2C2A29"/>
                <w:sz w:val="20"/>
                <w:szCs w:val="20"/>
                <w:shd w:fill="auto" w:val="clear"/>
                <w:lang w:val="ru-RU"/>
              </w:rPr>
              <w:t>лично</w:t>
            </w:r>
          </w:p>
        </w:tc>
      </w:tr>
      <w:tr>
        <w:trPr/>
        <w:tc>
          <w:tcPr>
            <w:tcW w:w="258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color w:themeColor="accent4" w:themeShade="80" w:val="403152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themeColor="accent4" w:themeShade="80" w:val="403152"/>
                <w:sz w:val="21"/>
                <w:szCs w:val="21"/>
                <w:lang w:eastAsia="ru-RU"/>
              </w:rPr>
              <w:t>Услуга предоставляется</w:t>
            </w:r>
          </w:p>
        </w:tc>
        <w:tc>
          <w:tcPr>
            <w:tcW w:w="1285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ind w:hanging="0" w:left="0"/>
              <w:jc w:val="both"/>
              <w:rPr>
                <w:rFonts w:ascii="Arial" w:hAnsi="Arial" w:eastAsia="Times New Roman" w:cs="Times New Roman"/>
                <w:i w:val="false"/>
                <w:i w:val="false"/>
                <w:iCs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shd w:fill="FFFFFF" w:val="clear"/>
                <w:lang w:val="ru-RU"/>
              </w:rPr>
            </w:pPr>
            <w:r>
              <w:rPr>
                <w:rFonts w:eastAsia="Times New Roman" w:cs="Arial" w:ascii="Liberation Sans" w:hAnsi="Liberation Sans"/>
                <w:i w:val="false"/>
                <w:iCs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shd w:fill="FFFFFF" w:val="clear"/>
                <w:lang w:val="ru-RU"/>
              </w:rPr>
              <w:t>публично-правовая компания «Единый регулятор азартных игр»</w:t>
            </w:r>
          </w:p>
        </w:tc>
      </w:tr>
      <w:tr>
        <w:trPr/>
        <w:tc>
          <w:tcPr>
            <w:tcW w:w="258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color w:themeColor="accent4" w:themeShade="80"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themeColor="accent4" w:themeShade="80" w:val="403152"/>
                <w:sz w:val="21"/>
                <w:szCs w:val="21"/>
                <w:lang w:eastAsia="ru-RU"/>
              </w:rPr>
              <w:t>Обязательные документы</w:t>
            </w:r>
          </w:p>
        </w:tc>
        <w:tc>
          <w:tcPr>
            <w:tcW w:w="1285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ind w:hanging="0" w:left="0"/>
              <w:jc w:val="both"/>
              <w:rPr>
                <w:rFonts w:ascii="Arial" w:hAnsi="Arial"/>
                <w:b w:val="false"/>
                <w:i w:val="false"/>
                <w:i w:val="false"/>
                <w:strike w:val="false"/>
                <w:dstrike w:val="false"/>
                <w:sz w:val="20"/>
                <w:szCs w:val="20"/>
                <w:u w:val="none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szCs w:val="20"/>
                <w:u w:val="none"/>
              </w:rPr>
              <w:t>-Заявление о включении информации о физическом лице в перечень физических лиц, отказавшихся от участия в азартных играх;</w:t>
            </w:r>
          </w:p>
          <w:p>
            <w:pPr>
              <w:pStyle w:val="Normal"/>
              <w:ind w:hanging="0" w:left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Arial" w:ascii="Arial" w:hAnsi="Arial"/>
                <w:b w:val="false"/>
                <w:i w:val="false"/>
                <w:strike w:val="false"/>
                <w:dstrike w:val="false"/>
                <w:color w:val="2C2A29"/>
                <w:sz w:val="20"/>
                <w:szCs w:val="20"/>
                <w:u w:val="none"/>
                <w:lang w:eastAsia="ru-RU"/>
              </w:rPr>
              <w:t>-</w:t>
            </w:r>
            <w:r>
              <w:rPr>
                <w:rFonts w:eastAsia="Times New Roman" w:cs="Arial" w:ascii="Arial" w:hAnsi="Arial"/>
                <w:b w:val="false"/>
                <w:i w:val="false"/>
                <w:strike w:val="false"/>
                <w:dstrike w:val="false"/>
                <w:color w:val="2C2A29"/>
                <w:sz w:val="20"/>
                <w:szCs w:val="20"/>
                <w:u w:val="none"/>
                <w:lang w:val="ru-RU" w:eastAsia="ru-RU"/>
              </w:rPr>
              <w:t>С</w:t>
            </w:r>
            <w:r>
              <w:rPr>
                <w:rFonts w:eastAsia="Times New Roman" w:cs="Arial" w:ascii="Arial" w:hAnsi="Arial"/>
                <w:b w:val="false"/>
                <w:i w:val="false"/>
                <w:strike w:val="false"/>
                <w:dstrike w:val="false"/>
                <w:color w:val="2C2A29"/>
                <w:sz w:val="20"/>
                <w:szCs w:val="20"/>
                <w:u w:val="none"/>
                <w:lang w:eastAsia="ru-RU"/>
              </w:rPr>
              <w:t xml:space="preserve">огласие субъекта персональных данных на обработку его персональных данных </w:t>
            </w:r>
            <w:r>
              <w:rPr>
                <w:rFonts w:eastAsia="Times New Roman" w:cs="Arial" w:ascii="Arial" w:hAnsi="Arial"/>
                <w:b w:val="false"/>
                <w:i w:val="false"/>
                <w:strike w:val="false"/>
                <w:dstrike w:val="false"/>
                <w:color w:val="2C2A29"/>
                <w:sz w:val="20"/>
                <w:szCs w:val="20"/>
                <w:u w:val="none"/>
                <w:lang w:val="ru-RU" w:eastAsia="ru-RU"/>
              </w:rPr>
              <w:t>по форме ППК «ЕРАИ»</w:t>
            </w:r>
          </w:p>
          <w:p>
            <w:pPr>
              <w:pStyle w:val="Normal"/>
              <w:spacing w:before="0" w:after="200"/>
              <w:ind w:hanging="0" w:left="0"/>
              <w:jc w:val="both"/>
              <w:rPr>
                <w:rFonts w:ascii="Arial" w:hAnsi="Arial" w:eastAsia="Times New Roman" w:cs="Arial"/>
                <w:b w:val="false"/>
                <w:bCs w:val="false"/>
                <w:i w:val="false"/>
                <w:i w:val="false"/>
                <w:strike w:val="false"/>
                <w:dstrike w:val="false"/>
                <w:color w:val="2C2A29"/>
                <w:sz w:val="20"/>
                <w:szCs w:val="20"/>
                <w:u w:val="none"/>
                <w:lang w:val="ru-RU" w:eastAsia="ru-RU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i w:val="false"/>
                <w:strike w:val="false"/>
                <w:dstrike w:val="false"/>
                <w:color w:val="2C2A29"/>
                <w:sz w:val="20"/>
                <w:szCs w:val="20"/>
                <w:u w:val="none"/>
                <w:lang w:val="ru-RU" w:eastAsia="ru-RU"/>
              </w:rPr>
              <w:t>- Идентификационный номер налогоплательщика для внесения данных в заявление (ИНН)</w:t>
            </w:r>
          </w:p>
        </w:tc>
      </w:tr>
      <w:tr>
        <w:trPr>
          <w:trHeight w:val="708" w:hRule="atLeast"/>
        </w:trPr>
        <w:tc>
          <w:tcPr>
            <w:tcW w:w="258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color w:themeColor="accent4" w:themeShade="80" w:val="403152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themeColor="accent4" w:themeShade="80" w:val="403152"/>
                <w:sz w:val="21"/>
                <w:szCs w:val="21"/>
                <w:lang w:eastAsia="ru-RU"/>
              </w:rPr>
              <w:t>Необязательные документы</w:t>
            </w:r>
          </w:p>
        </w:tc>
        <w:tc>
          <w:tcPr>
            <w:tcW w:w="1285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/>
                <w:b w:val="false"/>
                <w:bCs w:val="false"/>
                <w:sz w:val="20"/>
                <w:szCs w:val="20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strike w:val="false"/>
                <w:dstrike w:val="false"/>
                <w:sz w:val="20"/>
                <w:szCs w:val="20"/>
                <w:u w:val="none"/>
              </w:rPr>
              <w:t xml:space="preserve">реквизиты банковского счета </w:t>
            </w:r>
            <w:r>
              <w:rPr>
                <w:rFonts w:ascii="Arial" w:hAnsi="Arial"/>
                <w:b w:val="false"/>
                <w:bCs w:val="false"/>
                <w:i w:val="false"/>
                <w:strike w:val="false"/>
                <w:dstrike w:val="false"/>
                <w:sz w:val="20"/>
                <w:szCs w:val="20"/>
                <w:u w:val="none"/>
                <w:lang w:val="ru-RU"/>
              </w:rPr>
              <w:t>для внесения данных в заявление</w:t>
            </w:r>
            <w:r>
              <w:rPr>
                <w:rFonts w:ascii="Arial" w:hAnsi="Arial"/>
                <w:b w:val="false"/>
                <w:bCs w:val="false"/>
                <w:i w:val="false"/>
                <w:strike w:val="false"/>
                <w:dstrike w:val="false"/>
                <w:sz w:val="20"/>
                <w:szCs w:val="20"/>
                <w:u w:val="none"/>
              </w:rPr>
              <w:t xml:space="preserve"> при необходимости возврата сумм </w:t>
            </w:r>
            <w:r>
              <w:rPr>
                <w:rFonts w:ascii="Arial" w:hAnsi="Arial"/>
                <w:b w:val="false"/>
                <w:bCs w:val="false"/>
                <w:i w:val="false"/>
                <w:strike w:val="false"/>
                <w:dstrike w:val="false"/>
                <w:sz w:val="20"/>
                <w:szCs w:val="20"/>
                <w:u w:val="none"/>
                <w:lang w:val="ru-RU"/>
              </w:rPr>
              <w:t>ставок</w:t>
            </w:r>
            <w:r>
              <w:rPr>
                <w:rFonts w:ascii="Arial" w:hAnsi="Arial"/>
                <w:b w:val="false"/>
                <w:bCs w:val="false"/>
                <w:i w:val="false"/>
                <w:strike w:val="false"/>
                <w:dstrike w:val="false"/>
                <w:sz w:val="20"/>
                <w:szCs w:val="20"/>
                <w:u w:val="none"/>
                <w:shd w:fill="auto" w:val="clear"/>
                <w:lang w:val="ru-RU"/>
              </w:rPr>
              <w:t>.</w:t>
            </w:r>
          </w:p>
        </w:tc>
      </w:tr>
      <w:tr>
        <w:trPr/>
        <w:tc>
          <w:tcPr>
            <w:tcW w:w="258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color w:themeColor="accent4" w:themeShade="80" w:val="403152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themeColor="accent4" w:themeShade="80" w:val="403152"/>
                <w:sz w:val="21"/>
                <w:szCs w:val="21"/>
                <w:lang w:eastAsia="ru-RU"/>
              </w:rPr>
              <w:t>Результат</w:t>
            </w:r>
          </w:p>
        </w:tc>
        <w:tc>
          <w:tcPr>
            <w:tcW w:w="1285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ind w:hanging="0" w:left="0"/>
              <w:jc w:val="both"/>
              <w:rPr>
                <w:rFonts w:ascii="Arial" w:hAnsi="Arial" w:eastAsia="Times New Roman" w:cs="Times New Roman"/>
                <w:sz w:val="20"/>
                <w:szCs w:val="20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ru-RU"/>
              </w:rPr>
              <w:t>Заявителю возвращается подписанное им заявление и согласие на обработку персональных данных.</w:t>
            </w:r>
          </w:p>
          <w:p>
            <w:pPr>
              <w:pStyle w:val="Normal"/>
              <w:spacing w:lineRule="auto" w:line="240" w:before="0" w:after="0"/>
              <w:ind w:hanging="0" w:left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</w:r>
          </w:p>
        </w:tc>
      </w:tr>
      <w:tr>
        <w:trPr/>
        <w:tc>
          <w:tcPr>
            <w:tcW w:w="258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color w:themeColor="accent4" w:themeShade="80" w:val="403152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themeColor="accent4" w:themeShade="80" w:val="403152"/>
                <w:sz w:val="21"/>
                <w:szCs w:val="21"/>
                <w:lang w:eastAsia="ru-RU"/>
              </w:rPr>
              <w:t>Срок предоставления услуги</w:t>
            </w:r>
          </w:p>
        </w:tc>
        <w:tc>
          <w:tcPr>
            <w:tcW w:w="1285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ind w:hanging="0" w:left="0"/>
              <w:jc w:val="both"/>
              <w:rPr>
                <w:rFonts w:ascii="Arial" w:hAnsi="Arial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Arial" w:hAnsi="Arial"/>
                <w:color w:val="000000"/>
                <w:sz w:val="20"/>
                <w:szCs w:val="20"/>
                <w:lang w:eastAsia="ru-RU"/>
              </w:rPr>
              <w:t>В течение 12 часов с момента получения заявления ППК «Единый регулятор азартных игр» информация о лице включается в Перечень. Любое лицо вправе посредством ЕПГУ проверить свой статус нахождения в Перечне (услуга «Сведения о наличии в перечне отказавшихся от участия в азартных играх»).</w:t>
            </w:r>
          </w:p>
        </w:tc>
      </w:tr>
      <w:tr>
        <w:trPr/>
        <w:tc>
          <w:tcPr>
            <w:tcW w:w="258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color w:themeColor="accent4" w:themeShade="80" w:val="403152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themeColor="accent4" w:themeShade="80" w:val="403152"/>
                <w:sz w:val="21"/>
                <w:szCs w:val="21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85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ind w:hanging="0" w:left="0"/>
              <w:jc w:val="both"/>
              <w:rPr>
                <w:rFonts w:ascii="Arial" w:hAnsi="Arial"/>
                <w:b w:val="false"/>
                <w:i w:val="false"/>
                <w:i w:val="false"/>
                <w:strike w:val="false"/>
                <w:dstrike w:val="false"/>
                <w:sz w:val="20"/>
                <w:szCs w:val="20"/>
                <w:u w:val="none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szCs w:val="20"/>
                <w:u w:val="none"/>
              </w:rPr>
              <w:t>- непредъявление физическим лицом документа, удостоверяющего личность;</w:t>
            </w:r>
          </w:p>
          <w:p>
            <w:pPr>
              <w:pStyle w:val="Normal"/>
              <w:spacing w:before="200" w:after="0"/>
              <w:ind w:hanging="0" w:left="0"/>
              <w:jc w:val="both"/>
              <w:rPr>
                <w:rFonts w:ascii="Arial" w:hAnsi="Arial"/>
                <w:b w:val="false"/>
                <w:i w:val="false"/>
                <w:i w:val="false"/>
                <w:strike w:val="false"/>
                <w:dstrike w:val="false"/>
                <w:sz w:val="20"/>
                <w:szCs w:val="20"/>
                <w:u w:val="none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szCs w:val="20"/>
                <w:u w:val="none"/>
              </w:rPr>
              <w:t>- непредъявление иностранным гражданином или лицом без гражданства нотариально заверенного перевода документа, удостоверяющего его личность, на русский язык;</w:t>
            </w:r>
          </w:p>
          <w:p>
            <w:pPr>
              <w:pStyle w:val="Normal"/>
              <w:spacing w:before="200" w:after="0"/>
              <w:ind w:hanging="0" w:left="0"/>
              <w:jc w:val="both"/>
              <w:rPr>
                <w:rFonts w:ascii="Arial" w:hAnsi="Arial"/>
                <w:b w:val="false"/>
                <w:i w:val="false"/>
                <w:i w:val="false"/>
                <w:strike w:val="false"/>
                <w:dstrike w:val="false"/>
                <w:sz w:val="20"/>
                <w:szCs w:val="20"/>
                <w:u w:val="none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szCs w:val="20"/>
                <w:u w:val="none"/>
              </w:rPr>
              <w:t>- непредъявление физическим лицом согласия субъекта персональных данных на обработку его персональных данных;</w:t>
            </w:r>
          </w:p>
          <w:p>
            <w:pPr>
              <w:pStyle w:val="Normal"/>
              <w:spacing w:before="200" w:after="0"/>
              <w:ind w:hanging="0" w:left="0"/>
              <w:jc w:val="both"/>
              <w:rPr>
                <w:rFonts w:ascii="Arial" w:hAnsi="Arial"/>
                <w:b w:val="false"/>
                <w:i w:val="false"/>
                <w:i w:val="false"/>
                <w:strike w:val="false"/>
                <w:dstrike w:val="false"/>
                <w:sz w:val="20"/>
                <w:szCs w:val="20"/>
                <w:u w:val="none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szCs w:val="20"/>
                <w:u w:val="none"/>
              </w:rPr>
              <w:t>- неподтверждение сотрудником многофункционального центра личности физического лица;</w:t>
            </w:r>
          </w:p>
          <w:p>
            <w:pPr>
              <w:pStyle w:val="Normal"/>
              <w:spacing w:before="200" w:after="0"/>
              <w:ind w:hanging="0" w:left="0"/>
              <w:jc w:val="both"/>
              <w:rPr>
                <w:rFonts w:ascii="Arial" w:hAnsi="Arial"/>
                <w:b w:val="false"/>
                <w:i w:val="false"/>
                <w:i w:val="false"/>
                <w:strike w:val="false"/>
                <w:dstrike w:val="false"/>
                <w:sz w:val="20"/>
                <w:szCs w:val="20"/>
                <w:u w:val="none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szCs w:val="20"/>
                <w:u w:val="none"/>
              </w:rPr>
              <w:t>- недостижение физическим лицом возраста восемнадцати лет;</w:t>
            </w:r>
          </w:p>
          <w:p>
            <w:pPr>
              <w:pStyle w:val="Normal"/>
              <w:spacing w:before="200" w:after="0"/>
              <w:ind w:hanging="0" w:left="0"/>
              <w:jc w:val="both"/>
              <w:rPr>
                <w:rFonts w:ascii="Arial" w:hAnsi="Arial"/>
                <w:b w:val="false"/>
                <w:i w:val="false"/>
                <w:i w:val="false"/>
                <w:strike w:val="false"/>
                <w:dstrike w:val="false"/>
                <w:sz w:val="20"/>
                <w:szCs w:val="20"/>
                <w:u w:val="none"/>
              </w:rPr>
            </w:pPr>
            <w:r>
              <w:rPr>
                <w:rFonts w:eastAsia="Times New Roman" w:cs="Arial" w:ascii="Arial" w:hAnsi="Arial"/>
                <w:b w:val="false"/>
                <w:i w:val="false"/>
                <w:strike w:val="false"/>
                <w:dstrike w:val="false"/>
                <w:color w:val="000000"/>
                <w:sz w:val="20"/>
                <w:szCs w:val="20"/>
                <w:u w:val="none"/>
                <w:lang w:eastAsia="ru-RU"/>
              </w:rPr>
              <w:t>- несообщение физическим лицом идентификационного номера налогоплательщика.</w:t>
            </w:r>
          </w:p>
        </w:tc>
      </w:tr>
      <w:tr>
        <w:trPr>
          <w:trHeight w:val="431" w:hRule="atLeast"/>
        </w:trPr>
        <w:tc>
          <w:tcPr>
            <w:tcW w:w="258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color w:themeColor="accent4" w:themeShade="80" w:val="403152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themeColor="accent4" w:themeShade="80" w:val="403152"/>
                <w:sz w:val="21"/>
                <w:szCs w:val="21"/>
                <w:lang w:eastAsia="ru-RU"/>
              </w:rPr>
              <w:t>Стоимость</w:t>
            </w:r>
          </w:p>
        </w:tc>
        <w:tc>
          <w:tcPr>
            <w:tcW w:w="1285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cs="Arial" w:ascii="Arial" w:hAnsi="Arial"/>
                <w:color w:val="2C2A29"/>
                <w:sz w:val="20"/>
                <w:szCs w:val="20"/>
                <w:shd w:fill="FFFFFF" w:val="clear"/>
              </w:rPr>
              <w:t>Услуга предоставляется бесплатно</w:t>
            </w:r>
          </w:p>
        </w:tc>
      </w:tr>
      <w:tr>
        <w:trPr/>
        <w:tc>
          <w:tcPr>
            <w:tcW w:w="258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color w:themeColor="accent4" w:themeShade="80" w:val="403152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themeColor="accent4" w:themeShade="80" w:val="403152"/>
                <w:sz w:val="21"/>
                <w:szCs w:val="21"/>
                <w:lang w:eastAsia="ru-RU"/>
              </w:rPr>
              <w:t>Иные требования, учитывающие особенности предоставления государственной услуги через МФЦ</w:t>
            </w:r>
          </w:p>
        </w:tc>
        <w:tc>
          <w:tcPr>
            <w:tcW w:w="1285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ind w:hanging="0" w:left="0"/>
              <w:jc w:val="both"/>
              <w:rPr>
                <w:rFonts w:ascii="Arial" w:hAnsi="Arial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Arial" w:hAnsi="Arial"/>
                <w:color w:val="000000"/>
                <w:sz w:val="20"/>
                <w:szCs w:val="20"/>
                <w:lang w:eastAsia="ru-RU"/>
              </w:rPr>
              <w:t>МФЦ после направления заявления дальнейшее сопровождение обращения не осуществляет. Дальнейший статус по рассмотрению услуги заявитель отслеживает в личном кабинете на портале «Госуслуг» (услуга «Сведения о наличии в перечне отказавшихся от участия в азартных играх»).</w:t>
            </w:r>
          </w:p>
        </w:tc>
      </w:tr>
      <w:tr>
        <w:trPr>
          <w:trHeight w:val="626" w:hRule="atLeast"/>
        </w:trPr>
        <w:tc>
          <w:tcPr>
            <w:tcW w:w="258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color w:themeColor="accent4" w:themeShade="80" w:val="403152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themeColor="accent4" w:themeShade="80" w:val="403152"/>
                <w:sz w:val="21"/>
                <w:szCs w:val="21"/>
                <w:lang w:eastAsia="ru-RU"/>
              </w:rPr>
              <w:t>Административный регламент</w:t>
            </w:r>
          </w:p>
        </w:tc>
        <w:tc>
          <w:tcPr>
            <w:tcW w:w="1285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ind w:hanging="0" w:left="0"/>
              <w:jc w:val="left"/>
              <w:rPr>
                <w:rFonts w:ascii="Arial" w:hAnsi="Arial"/>
                <w:sz w:val="20"/>
                <w:szCs w:val="20"/>
              </w:rPr>
            </w:pPr>
            <w:r>
              <w:rPr>
                <w:rFonts w:eastAsia="Calibri" w:cs="Times New Roman" w:ascii="Arial" w:hAnsi="Arial"/>
                <w:b w:val="false"/>
                <w:color w:val="000000"/>
                <w:kern w:val="0"/>
                <w:sz w:val="20"/>
                <w:szCs w:val="20"/>
              </w:rPr>
              <w:t>1.                                                                        Федеральн</w:t>
            </w:r>
            <w:r>
              <w:rPr>
                <w:rFonts w:eastAsia="Calibri" w:cs="Times New Roman" w:ascii="Arial" w:hAnsi="Arial"/>
                <w:b w:val="false"/>
                <w:color w:val="000000"/>
                <w:kern w:val="0"/>
                <w:sz w:val="20"/>
                <w:szCs w:val="20"/>
                <w:lang w:val="ru-RU"/>
              </w:rPr>
              <w:t xml:space="preserve">ый </w:t>
            </w:r>
            <w:r>
              <w:rPr>
                <w:rFonts w:eastAsia="Calibri" w:cs="Times New Roman" w:ascii="Arial" w:hAnsi="Arial"/>
                <w:b w:val="false"/>
                <w:color w:val="000000"/>
                <w:kern w:val="0"/>
                <w:sz w:val="20"/>
                <w:szCs w:val="20"/>
              </w:rPr>
              <w:t>закон</w:t>
              <w:br/>
              <w:t>от 29.12.2025 № 575-ФЗ «О внесении изменений в отдельные законодательные акты Российской Федерации».</w:t>
            </w:r>
          </w:p>
          <w:p>
            <w:pPr>
              <w:pStyle w:val="Normal"/>
              <w:spacing w:lineRule="auto" w:line="240" w:before="0" w:after="0"/>
              <w:ind w:hanging="0" w:left="0"/>
              <w:jc w:val="both"/>
              <w:rPr>
                <w:rFonts w:ascii="Arial" w:hAnsi="Arial" w:eastAsia="Calibri" w:cs="Times New Roman"/>
                <w:b w:val="false"/>
                <w:color w:val="000000"/>
                <w:kern w:val="0"/>
                <w:sz w:val="20"/>
                <w:szCs w:val="20"/>
              </w:rPr>
            </w:pPr>
            <w:r>
              <w:rPr>
                <w:rFonts w:eastAsia="Calibri" w:cs="Times New Roman" w:ascii="Arial" w:hAnsi="Arial"/>
                <w:b w:val="false"/>
                <w:color w:val="000000"/>
                <w:kern w:val="0"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ind w:hanging="0" w:left="0"/>
              <w:jc w:val="both"/>
              <w:rPr>
                <w:sz w:val="20"/>
                <w:szCs w:val="20"/>
              </w:rPr>
            </w:pPr>
            <w:r>
              <w:rPr>
                <w:rFonts w:eastAsia="Calibri" w:cs="Times New Roman" w:ascii="Arial" w:hAnsi="Arial"/>
                <w:b w:val="false"/>
                <w:color w:val="000000"/>
                <w:kern w:val="0"/>
                <w:sz w:val="20"/>
                <w:szCs w:val="20"/>
              </w:rPr>
              <w:t>2.</w:t>
            </w:r>
            <w:r>
              <w:rPr>
                <w:rFonts w:eastAsia="Calibri" w:cs="Times New Roman" w:ascii="Arial" w:hAnsi="Arial"/>
                <w:b w:val="false"/>
                <w:i w:val="false"/>
                <w:strike w:val="false"/>
                <w:dstrike w:val="false"/>
                <w:color w:val="000000"/>
                <w:kern w:val="0"/>
                <w:sz w:val="20"/>
                <w:szCs w:val="20"/>
                <w:u w:val="none"/>
              </w:rPr>
              <w:t xml:space="preserve">Приказ Минфина России от 24.03.2026 N 34н </w:t>
            </w: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szCs w:val="20"/>
                <w:u w:val="none"/>
              </w:rPr>
              <w:t>"Об утверждении формы заявления о включении информации о физическом лице в перечень физических лиц, отказавшихся от участия в азартных играх, формы заявления об исключении информации о физическом лице из перечня физических лиц, отказавшихся от участия в азартных играх, их формата, формы согласия субъекта персональных данных на обработку его персональных данных, прилагаемого к таким заявлениям, а также Порядка подачи заявлений о включении информации о физическом лице в перечень физических лиц, отказавшихся от участия в азартных играх, заявлений об исключении информации о физическом лице из перечня физических лиц, отказавшихся от участия в азартных играх, через многофункциональный центр предоставления государственных и муниципальных услуг и их передачи в публично-правовую компанию "Единый регулятор азартных игр"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851" w:right="1134" w:gutter="0" w:header="0" w:top="426" w:footer="0" w:bottom="85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link w:val="1"/>
    <w:uiPriority w:val="9"/>
    <w:qFormat/>
    <w:rsid w:val="000a15b1"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Style13" w:customStyle="1">
    <w:name w:val="Текст выноски Знак"/>
    <w:basedOn w:val="DefaultParagraphFont"/>
    <w:link w:val="BalloonText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1" w:customStyle="1">
    <w:name w:val="Заголовок 1 Знак"/>
    <w:basedOn w:val="DefaultParagraphFont"/>
    <w:uiPriority w:val="9"/>
    <w:qFormat/>
    <w:rsid w:val="000a15b1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Hyperlink">
    <w:name w:val="Hyperlink"/>
    <w:basedOn w:val="DefaultParagraphFont"/>
    <w:uiPriority w:val="99"/>
    <w:semiHidden/>
    <w:unhideWhenUsed/>
    <w:rsid w:val="006f2330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4303d0"/>
    <w:rPr>
      <w:b/>
      <w:bCs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link w:val="Style13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/>
      <w:contextualSpacing/>
    </w:pPr>
    <w:rPr/>
  </w:style>
  <w:style w:type="paragraph" w:styleId="ConsPlusTitle" w:customStyle="1">
    <w:name w:val="ConsPlusTitle"/>
    <w:qFormat/>
    <w:rsid w:val="001f41f3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b/>
      <w:color w:val="auto"/>
      <w:kern w:val="0"/>
      <w:sz w:val="22"/>
      <w:szCs w:val="20"/>
      <w:lang w:val="ru-RU" w:eastAsia="ru-RU" w:bidi="ar-SA"/>
    </w:rPr>
  </w:style>
  <w:style w:type="paragraph" w:styleId="ConsPlusNormal" w:customStyle="1">
    <w:name w:val="ConsPlusNormal"/>
    <w:qFormat/>
    <w:rsid w:val="0039620a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NormalWeb">
    <w:name w:val="Normal (Web)"/>
    <w:basedOn w:val="Normal"/>
    <w:uiPriority w:val="99"/>
    <w:unhideWhenUsed/>
    <w:qFormat/>
    <w:rsid w:val="004b3fc2"/>
    <w:pPr>
      <w:spacing w:lineRule="auto" w:line="240" w:beforeAutospacing="1" w:after="0"/>
      <w:jc w:val="both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western" w:customStyle="1">
    <w:name w:val="western"/>
    <w:basedOn w:val="Normal"/>
    <w:qFormat/>
    <w:rsid w:val="006c56f7"/>
    <w:pPr>
      <w:spacing w:lineRule="auto" w:line="240" w:beforeAutospacing="1" w:after="0"/>
      <w:jc w:val="both"/>
    </w:pPr>
    <w:rPr>
      <w:rFonts w:ascii="Liberation Sans" w:hAnsi="Liberation Sans" w:eastAsia="Times New Roman" w:cs="Liberation Sans"/>
      <w:color w:val="000000"/>
      <w:sz w:val="24"/>
      <w:szCs w:val="24"/>
      <w:lang w:eastAsia="ru-RU"/>
    </w:rPr>
  </w:style>
  <w:style w:type="paragraph" w:styleId="ng-scope" w:customStyle="1">
    <w:name w:val="ng-scope"/>
    <w:basedOn w:val="Normal"/>
    <w:qFormat/>
    <w:rsid w:val="00136b90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onsplusnormal1" w:customStyle="1">
    <w:name w:val="consplusnormal1"/>
    <w:basedOn w:val="Normal"/>
    <w:qFormat/>
    <w:rsid w:val="006f2330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user2" w:default="1">
    <w:name w:val="Без списка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Application>LibreOffice/25.2.5.2$Windows_X86_64 LibreOffice_project/03d19516eb2e1dd5d4ccd751a0d6f35f35e08022</Application>
  <AppVersion>15.0000</AppVersion>
  <Pages>2</Pages>
  <Words>416</Words>
  <Characters>2902</Characters>
  <CharactersWithSpaces>3357</CharactersWithSpaces>
  <Paragraphs>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2024-02-20T05:52:00Z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2026-08-24T11:38:24Z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