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7"/>
        <w:rPr/>
      </w:pPr>
      <w:r>
        <w:rPr/>
      </w:r>
    </w:p>
    <w:p>
      <w:pPr>
        <w:pStyle w:val="Style17"/>
        <w:rPr/>
      </w:pPr>
      <w:r>
        <w:rPr/>
      </w:r>
    </w:p>
    <w:tbl>
      <w:tblPr>
        <w:tblW w:w="15443" w:type="dxa"/>
        <w:jc w:val="left"/>
        <w:tblInd w:w="135" w:type="dxa"/>
        <w:tblLayout w:type="fixed"/>
        <w:tblCellMar>
          <w:top w:w="150" w:type="dxa"/>
          <w:left w:w="150" w:type="dxa"/>
          <w:bottom w:w="150" w:type="dxa"/>
          <w:right w:w="150" w:type="dxa"/>
        </w:tblCellMar>
        <w:tblLook w:firstRow="1" w:noVBand="1" w:lastRow="0" w:firstColumn="1" w:lastColumn="0" w:noHBand="0" w:val="04a0"/>
      </w:tblPr>
      <w:tblGrid>
        <w:gridCol w:w="2447"/>
        <w:gridCol w:w="12995"/>
      </w:tblGrid>
      <w:tr>
        <w:trPr>
          <w:trHeight w:val="571"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Наименование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keepNext w:val="true"/>
              <w:widowControl w:val="false"/>
              <w:tabs>
                <w:tab w:val="clear" w:pos="720"/>
                <w:tab w:val="left" w:pos="426" w:leader="none"/>
                <w:tab w:val="left" w:pos="1346" w:leader="none"/>
                <w:tab w:val="left" w:pos="2268" w:leader="none"/>
              </w:tabs>
              <w:overflowPunct w:val="true"/>
              <w:spacing w:lineRule="auto" w:line="240" w:before="0" w:after="0"/>
              <w:ind w:left="0" w:right="0" w:hanging="0"/>
              <w:jc w:val="both"/>
              <w:rPr>
                <w:rFonts w:ascii="Arial" w:hAnsi="Arial" w:eastAsia="Calibri" w:cs="Arial"/>
                <w:b w:val="false"/>
                <w:b w:val="false"/>
                <w:bCs/>
                <w:color w:val="000000"/>
                <w:spacing w:val="-1"/>
                <w:kern w:val="2"/>
                <w:sz w:val="20"/>
                <w:szCs w:val="20"/>
                <w:shd w:fill="auto" w:val="clear"/>
                <w:lang w:eastAsia="ru-RU" w:bidi="ru-RU"/>
              </w:rPr>
            </w:pPr>
            <w:r>
              <w:rPr>
                <w:rFonts w:eastAsia="Calibri" w:cs="Arial" w:ascii="Arial" w:hAnsi="Arial"/>
                <w:b w:val="false"/>
                <w:bCs/>
                <w:color w:val="000000"/>
                <w:spacing w:val="-1"/>
                <w:kern w:val="2"/>
                <w:sz w:val="20"/>
                <w:szCs w:val="20"/>
                <w:shd w:fill="auto" w:val="clear"/>
                <w:lang w:eastAsia="ru-RU" w:bidi="ru-RU"/>
              </w:rPr>
              <w:t>Предоставление ежегодной семейной выплаты гражданам Российской Федерации, имеющим двух и более детей</w:t>
            </w:r>
          </w:p>
        </w:tc>
      </w:tr>
      <w:tr>
        <w:trPr>
          <w:trHeight w:val="571"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Ответственный орган</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rFonts w:ascii="Arial" w:hAnsi="Arial" w:eastAsia="Microsoft Sans Serif" w:cs="Times New Roman"/>
                <w:bCs/>
                <w:color w:val="000000"/>
                <w:kern w:val="2"/>
                <w:sz w:val="20"/>
                <w:szCs w:val="20"/>
                <w:lang w:eastAsia="ru-RU"/>
              </w:rPr>
            </w:pPr>
            <w:r>
              <w:rPr>
                <w:rFonts w:eastAsia="Microsoft Sans Serif" w:cs="Times New Roman" w:ascii="Arial" w:hAnsi="Arial"/>
                <w:bCs/>
                <w:color w:val="000000"/>
                <w:kern w:val="2"/>
                <w:sz w:val="20"/>
                <w:szCs w:val="20"/>
                <w:lang w:eastAsia="ru-RU"/>
              </w:rPr>
              <w:t xml:space="preserve">Фонд социального и пенсионного страхования Российской Федерации </w:t>
            </w:r>
          </w:p>
        </w:tc>
      </w:tr>
      <w:tr>
        <w:trPr>
          <w:trHeight w:val="826"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Заявители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pacing w:before="0" w:after="0"/>
              <w:ind w:hanging="0"/>
              <w:jc w:val="both"/>
              <w:rPr>
                <w:rFonts w:ascii="Arial" w:hAnsi="Arial"/>
                <w:sz w:val="20"/>
                <w:szCs w:val="20"/>
              </w:rPr>
            </w:pPr>
            <w:r>
              <w:rPr>
                <w:rFonts w:cs="Arial" w:ascii="Arial" w:hAnsi="Arial"/>
                <w:sz w:val="20"/>
                <w:szCs w:val="20"/>
              </w:rPr>
              <w:t>Право на получение ежегодной семейной выплаты предоставляется:</w:t>
            </w:r>
          </w:p>
          <w:p>
            <w:pPr>
              <w:pStyle w:val="ConsPlusNormal1"/>
              <w:widowControl w:val="false"/>
              <w:spacing w:before="57" w:after="57"/>
              <w:ind w:hanging="0"/>
              <w:jc w:val="both"/>
              <w:rPr>
                <w:rFonts w:ascii="Arial" w:hAnsi="Arial"/>
                <w:sz w:val="20"/>
                <w:szCs w:val="20"/>
              </w:rPr>
            </w:pPr>
            <w:r>
              <w:rPr>
                <w:rFonts w:cs="Arial" w:ascii="Arial" w:hAnsi="Arial"/>
                <w:b/>
                <w:bCs/>
                <w:sz w:val="20"/>
                <w:szCs w:val="20"/>
              </w:rPr>
              <w:t xml:space="preserve">- </w:t>
            </w:r>
            <w:r>
              <w:rPr>
                <w:rFonts w:cs="Arial" w:ascii="Arial" w:hAnsi="Arial"/>
                <w:b/>
                <w:bCs/>
                <w:sz w:val="20"/>
                <w:szCs w:val="20"/>
              </w:rPr>
              <w:t xml:space="preserve">каждому </w:t>
            </w:r>
            <w:r>
              <w:rPr>
                <w:rFonts w:cs="Arial" w:ascii="Arial" w:hAnsi="Arial"/>
                <w:b/>
                <w:bCs/>
                <w:sz w:val="20"/>
                <w:szCs w:val="20"/>
              </w:rPr>
              <w:t>работающ</w:t>
            </w:r>
            <w:r>
              <w:rPr>
                <w:rFonts w:cs="Arial" w:ascii="Arial" w:hAnsi="Arial"/>
                <w:b/>
                <w:bCs/>
                <w:sz w:val="20"/>
                <w:szCs w:val="20"/>
              </w:rPr>
              <w:t>ему</w:t>
            </w:r>
            <w:r>
              <w:rPr>
                <w:rFonts w:cs="Arial" w:ascii="Arial" w:hAnsi="Arial"/>
                <w:b/>
                <w:bCs/>
                <w:sz w:val="20"/>
                <w:szCs w:val="20"/>
              </w:rPr>
              <w:t xml:space="preserve"> родител</w:t>
            </w:r>
            <w:r>
              <w:rPr>
                <w:rFonts w:cs="Arial" w:ascii="Arial" w:hAnsi="Arial"/>
                <w:b/>
                <w:bCs/>
                <w:sz w:val="20"/>
                <w:szCs w:val="20"/>
              </w:rPr>
              <w:t>ю</w:t>
            </w:r>
            <w:r>
              <w:rPr>
                <w:rFonts w:cs="Arial" w:ascii="Arial" w:hAnsi="Arial"/>
                <w:b/>
                <w:bCs/>
                <w:sz w:val="20"/>
                <w:szCs w:val="20"/>
              </w:rPr>
              <w:t xml:space="preserve"> (усыновител</w:t>
            </w:r>
            <w:r>
              <w:rPr>
                <w:rFonts w:cs="Arial" w:ascii="Arial" w:hAnsi="Arial"/>
                <w:b/>
                <w:bCs/>
                <w:sz w:val="20"/>
                <w:szCs w:val="20"/>
              </w:rPr>
              <w:t>ю</w:t>
            </w:r>
            <w:r>
              <w:rPr>
                <w:rFonts w:cs="Arial" w:ascii="Arial" w:hAnsi="Arial"/>
                <w:b/>
                <w:bCs/>
                <w:sz w:val="20"/>
                <w:szCs w:val="20"/>
              </w:rPr>
              <w:t>, опекун</w:t>
            </w:r>
            <w:r>
              <w:rPr>
                <w:rFonts w:cs="Arial" w:ascii="Arial" w:hAnsi="Arial"/>
                <w:b/>
                <w:bCs/>
                <w:sz w:val="20"/>
                <w:szCs w:val="20"/>
              </w:rPr>
              <w:t>у</w:t>
            </w:r>
            <w:r>
              <w:rPr>
                <w:rFonts w:cs="Arial" w:ascii="Arial" w:hAnsi="Arial"/>
                <w:b/>
                <w:bCs/>
                <w:sz w:val="20"/>
                <w:szCs w:val="20"/>
              </w:rPr>
              <w:t>, попечител</w:t>
            </w:r>
            <w:r>
              <w:rPr>
                <w:rFonts w:cs="Arial" w:ascii="Arial" w:hAnsi="Arial"/>
                <w:b/>
                <w:bCs/>
                <w:sz w:val="20"/>
                <w:szCs w:val="20"/>
              </w:rPr>
              <w:t>ю)</w:t>
            </w:r>
            <w:r>
              <w:rPr>
                <w:rFonts w:cs="Arial" w:ascii="Arial" w:hAnsi="Arial"/>
                <w:b/>
                <w:bCs/>
                <w:sz w:val="20"/>
                <w:szCs w:val="20"/>
              </w:rPr>
              <w:t xml:space="preserve"> имеющ</w:t>
            </w:r>
            <w:r>
              <w:rPr>
                <w:rFonts w:cs="Arial" w:ascii="Arial" w:hAnsi="Arial"/>
                <w:b/>
                <w:bCs/>
                <w:sz w:val="20"/>
                <w:szCs w:val="20"/>
              </w:rPr>
              <w:t>ему</w:t>
            </w:r>
            <w:r>
              <w:rPr>
                <w:rFonts w:cs="Arial" w:ascii="Arial" w:hAnsi="Arial"/>
                <w:b/>
                <w:bCs/>
                <w:sz w:val="20"/>
                <w:szCs w:val="20"/>
              </w:rPr>
              <w:t xml:space="preserve"> 2</w:t>
            </w:r>
            <w:r>
              <w:rPr>
                <w:rFonts w:cs="Arial" w:ascii="Arial" w:hAnsi="Arial"/>
                <w:b/>
                <w:bCs/>
                <w:sz w:val="20"/>
                <w:szCs w:val="20"/>
              </w:rPr>
              <w:t>х</w:t>
            </w:r>
            <w:r>
              <w:rPr>
                <w:rFonts w:cs="Arial" w:ascii="Arial" w:hAnsi="Arial"/>
                <w:b/>
                <w:bCs/>
                <w:sz w:val="20"/>
                <w:szCs w:val="20"/>
              </w:rPr>
              <w:t xml:space="preserve"> и более детей</w:t>
            </w:r>
            <w:r>
              <w:rPr>
                <w:rFonts w:cs="Arial" w:ascii="Arial" w:hAnsi="Arial"/>
                <w:sz w:val="20"/>
                <w:szCs w:val="20"/>
              </w:rPr>
              <w:t>:</w:t>
            </w:r>
          </w:p>
          <w:p>
            <w:pPr>
              <w:pStyle w:val="ConsPlusNormal1"/>
              <w:widowControl w:val="false"/>
              <w:spacing w:before="49" w:after="0"/>
              <w:ind w:hanging="0"/>
              <w:jc w:val="both"/>
              <w:rPr>
                <w:rFonts w:ascii="Arial" w:hAnsi="Arial"/>
                <w:sz w:val="20"/>
                <w:szCs w:val="20"/>
              </w:rPr>
            </w:pPr>
            <w:r>
              <w:rPr>
                <w:rFonts w:cs="Arial" w:ascii="Arial" w:hAnsi="Arial"/>
                <w:sz w:val="20"/>
                <w:szCs w:val="20"/>
              </w:rPr>
              <w:t>являющихся гражданами Российской Федерации и постоянно проживающих на территории Российской Федерации, при условии, что такие родители (усыновители, опекуны, попечители) являются гражданами Российской Федерации, постоянно проживают на территории Российской Федерации, являются налоговыми резидентами Российской Федерации и с их доходов от трудовой, предпринимательской и профессиональной деятельности уплачен налог на доходы физических лиц в году, предшествующем году обращения за назначением ежегодной семейной выплаты</w:t>
            </w:r>
          </w:p>
          <w:p>
            <w:pPr>
              <w:pStyle w:val="ConsPlusNormal1"/>
              <w:widowControl w:val="false"/>
              <w:spacing w:before="0" w:after="0"/>
              <w:ind w:hanging="0"/>
              <w:jc w:val="both"/>
              <w:rPr>
                <w:rFonts w:ascii="Arial" w:hAnsi="Arial"/>
                <w:sz w:val="20"/>
                <w:szCs w:val="20"/>
              </w:rPr>
            </w:pPr>
            <w:r>
              <w:rPr>
                <w:rFonts w:ascii="Arial" w:hAnsi="Arial"/>
                <w:sz w:val="20"/>
                <w:szCs w:val="20"/>
              </w:rPr>
            </w:r>
          </w:p>
          <w:p>
            <w:pPr>
              <w:pStyle w:val="ConsPlusNormal1"/>
              <w:widowControl w:val="false"/>
              <w:spacing w:before="0" w:after="0"/>
              <w:ind w:hanging="0"/>
              <w:jc w:val="both"/>
              <w:rPr>
                <w:rFonts w:ascii="Arial" w:hAnsi="Arial"/>
                <w:b/>
                <w:b/>
                <w:bCs/>
                <w:sz w:val="20"/>
                <w:szCs w:val="20"/>
              </w:rPr>
            </w:pPr>
            <w:r>
              <w:rPr>
                <w:rFonts w:ascii="Arial" w:hAnsi="Arial"/>
                <w:b/>
                <w:bCs/>
                <w:sz w:val="20"/>
                <w:szCs w:val="20"/>
              </w:rPr>
              <w:t>Обращение по доверенности не предусмотрено формой заявления</w:t>
            </w:r>
          </w:p>
          <w:p>
            <w:pPr>
              <w:pStyle w:val="ConsPlusNormal1"/>
              <w:widowControl w:val="false"/>
              <w:spacing w:before="0" w:after="0"/>
              <w:ind w:hanging="0"/>
              <w:jc w:val="both"/>
              <w:rPr>
                <w:rFonts w:ascii="Arial" w:hAnsi="Arial"/>
                <w:sz w:val="20"/>
                <w:szCs w:val="20"/>
              </w:rPr>
            </w:pPr>
            <w:r>
              <w:rPr>
                <w:rFonts w:ascii="Arial" w:hAnsi="Arial"/>
                <w:sz w:val="20"/>
                <w:szCs w:val="20"/>
              </w:rPr>
            </w:r>
          </w:p>
          <w:p>
            <w:pPr>
              <w:pStyle w:val="ConsPlusNormal1"/>
              <w:widowControl w:val="false"/>
              <w:spacing w:before="0" w:after="0"/>
              <w:ind w:hanging="0"/>
              <w:jc w:val="both"/>
              <w:rPr>
                <w:shd w:fill="FFBF00" w:val="clear"/>
              </w:rPr>
            </w:pPr>
            <w:r>
              <w:rPr>
                <w:rFonts w:eastAsia="Times New Roman" w:cs="Arial" w:ascii="Arial" w:hAnsi="Arial"/>
                <w:b/>
                <w:bCs/>
                <w:color w:val="000000"/>
                <w:kern w:val="0"/>
                <w:sz w:val="24"/>
                <w:szCs w:val="24"/>
                <w:shd w:fill="FFBF00" w:val="clear"/>
                <w:lang w:val="ru-RU" w:eastAsia="ru-RU" w:bidi="ar-SA"/>
              </w:rPr>
              <w:t xml:space="preserve">Период подачи: </w:t>
            </w:r>
            <w:r>
              <w:rPr>
                <w:rFonts w:cs="Arial" w:ascii="Arial" w:hAnsi="Arial"/>
                <w:b/>
                <w:bCs/>
                <w:sz w:val="24"/>
                <w:szCs w:val="24"/>
                <w:shd w:fill="FFBF00" w:val="clear"/>
              </w:rPr>
              <w:t xml:space="preserve"> с 1 июня до 1 октября года </w:t>
            </w:r>
            <w:r>
              <w:rPr>
                <w:rFonts w:cs="Arial" w:ascii="Arial" w:hAnsi="Arial"/>
                <w:b/>
                <w:bCs/>
                <w:sz w:val="24"/>
                <w:szCs w:val="24"/>
                <w:shd w:fill="FFBF00" w:val="clear"/>
              </w:rPr>
              <w:t>(по 30 сентября включительно)</w:t>
            </w:r>
          </w:p>
        </w:tc>
      </w:tr>
      <w:tr>
        <w:trPr>
          <w:trHeight w:val="826" w:hRule="atLeast"/>
        </w:trPr>
        <w:tc>
          <w:tcPr>
            <w:tcW w:w="2447" w:type="dxa"/>
            <w:tcBorders>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sz w:val="20"/>
                <w:szCs w:val="20"/>
                <w:lang w:eastAsia="ru-RU"/>
              </w:rPr>
              <w:t>Информация</w:t>
            </w:r>
          </w:p>
        </w:tc>
        <w:tc>
          <w:tcPr>
            <w:tcW w:w="12995" w:type="dxa"/>
            <w:tcBorders>
              <w:left w:val="single" w:sz="6" w:space="0" w:color="EDEDED"/>
              <w:bottom w:val="single" w:sz="6" w:space="0" w:color="EDEDED"/>
              <w:right w:val="single" w:sz="6" w:space="0" w:color="EDEDED"/>
            </w:tcBorders>
            <w:shd w:color="auto" w:fill="auto" w:val="clear"/>
          </w:tcPr>
          <w:p>
            <w:pPr>
              <w:pStyle w:val="ConsPlusNormal1"/>
              <w:widowControl w:val="false"/>
              <w:spacing w:before="0" w:after="0"/>
              <w:ind w:hanging="0"/>
              <w:jc w:val="both"/>
              <w:rPr>
                <w:rFonts w:ascii="Arial" w:hAnsi="Arial"/>
                <w:sz w:val="20"/>
                <w:szCs w:val="20"/>
              </w:rPr>
            </w:pPr>
            <w:r>
              <w:rPr>
                <w:rFonts w:ascii="Arial" w:hAnsi="Arial"/>
                <w:sz w:val="20"/>
                <w:szCs w:val="20"/>
              </w:rPr>
              <w:t xml:space="preserve">Узнать проходит ли заявитель по оценке нуждаемости можно на </w:t>
            </w:r>
            <w:r>
              <w:rPr>
                <w:rFonts w:ascii="Arial" w:hAnsi="Arial"/>
                <w:sz w:val="20"/>
                <w:szCs w:val="20"/>
              </w:rPr>
              <w:t>ВсеПособия.рф (калькулятор пособий, выплат и тд)</w:t>
            </w:r>
          </w:p>
          <w:p>
            <w:pPr>
              <w:pStyle w:val="ConsPlusNormal1"/>
              <w:widowControl w:val="false"/>
              <w:spacing w:before="0" w:after="0"/>
              <w:ind w:hanging="0"/>
              <w:jc w:val="both"/>
              <w:rPr>
                <w:rFonts w:ascii="Arial" w:hAnsi="Arial"/>
                <w:sz w:val="20"/>
                <w:szCs w:val="20"/>
              </w:rPr>
            </w:pPr>
            <w:r>
              <w:rPr>
                <w:rFonts w:ascii="Arial" w:hAnsi="Arial"/>
                <w:sz w:val="20"/>
                <w:szCs w:val="20"/>
              </w:rPr>
              <w:t>Доход учитывается до вычета налога</w:t>
            </w:r>
          </w:p>
          <w:p>
            <w:pPr>
              <w:pStyle w:val="ConsPlusNormal1"/>
              <w:widowControl w:val="false"/>
              <w:spacing w:before="0" w:after="0"/>
              <w:ind w:hanging="0"/>
              <w:jc w:val="both"/>
              <w:rPr>
                <w:rFonts w:ascii="Arial" w:hAnsi="Arial"/>
                <w:sz w:val="20"/>
                <w:szCs w:val="20"/>
              </w:rPr>
            </w:pPr>
            <w:r>
              <w:rPr>
                <w:rFonts w:ascii="Arial" w:hAnsi="Arial"/>
                <w:sz w:val="20"/>
                <w:szCs w:val="20"/>
              </w:rPr>
            </w:r>
          </w:p>
        </w:tc>
      </w:tr>
      <w:tr>
        <w:trPr>
          <w:trHeight w:val="885"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000000"/>
                <w:sz w:val="20"/>
                <w:szCs w:val="20"/>
                <w:lang w:eastAsia="ru-RU"/>
              </w:rPr>
            </w:pPr>
            <w:r>
              <w:rPr>
                <w:rFonts w:eastAsia="Times New Roman" w:cs="Arial" w:ascii="Arial" w:hAnsi="Arial"/>
                <w:b/>
                <w:color w:val="403152" w:themeColor="accent4" w:themeShade="80"/>
                <w:sz w:val="20"/>
                <w:szCs w:val="20"/>
                <w:lang w:eastAsia="ru-RU"/>
              </w:rPr>
              <w:t>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ConsPlusNormal1"/>
              <w:widowControl w:val="false"/>
              <w:suppressAutoHyphens w:val="false"/>
              <w:spacing w:lineRule="auto" w:line="240" w:before="0" w:after="0"/>
              <w:ind w:left="0" w:right="0" w:hanging="0"/>
              <w:jc w:val="left"/>
              <w:rPr>
                <w:rFonts w:ascii="Arial" w:hAnsi="Arial" w:eastAsia="Arial" w:cs="Arial"/>
                <w:b w:val="false"/>
                <w:b w:val="false"/>
                <w:bCs w:val="false"/>
                <w:i w:val="false"/>
                <w:i w:val="false"/>
                <w:iCs w:val="false"/>
                <w:color w:val="000000"/>
                <w:spacing w:val="-1"/>
                <w:sz w:val="20"/>
                <w:szCs w:val="20"/>
                <w:u w:val="none"/>
                <w:shd w:fill="auto" w:val="clear"/>
                <w:lang w:val="ru-RU"/>
              </w:rPr>
            </w:pPr>
            <w:r>
              <w:rPr>
                <w:rFonts w:eastAsia="Arial" w:cs="Arial" w:ascii="Arial" w:hAnsi="Arial"/>
                <w:b w:val="false"/>
                <w:bCs w:val="false"/>
                <w:i w:val="false"/>
                <w:iCs w:val="false"/>
                <w:color w:val="000000"/>
                <w:spacing w:val="-1"/>
                <w:sz w:val="20"/>
                <w:szCs w:val="20"/>
                <w:u w:val="none"/>
                <w:shd w:fill="auto" w:val="clear"/>
                <w:lang w:val="ru-RU"/>
              </w:rPr>
              <w:t xml:space="preserve">- Заявление о назначении </w:t>
            </w:r>
            <w:r>
              <w:rPr>
                <w:rFonts w:eastAsia="Arial" w:cs="Arial" w:ascii="Arial" w:hAnsi="Arial"/>
                <w:b w:val="false"/>
                <w:bCs w:val="false"/>
                <w:i w:val="false"/>
                <w:iCs w:val="false"/>
                <w:strike w:val="false"/>
                <w:dstrike w:val="false"/>
                <w:color w:val="000000"/>
                <w:spacing w:val="-1"/>
                <w:sz w:val="20"/>
                <w:szCs w:val="20"/>
                <w:u w:val="none"/>
                <w:shd w:fill="auto" w:val="clear"/>
                <w:lang w:val="ru-RU"/>
              </w:rPr>
              <w:t>ежегодной семейной выплаты;</w:t>
            </w:r>
          </w:p>
          <w:p>
            <w:pPr>
              <w:pStyle w:val="ConsPlusNormal1"/>
              <w:widowControl w:val="false"/>
              <w:suppressAutoHyphens w:val="false"/>
              <w:spacing w:lineRule="auto" w:line="240" w:before="0" w:after="0"/>
              <w:ind w:left="0" w:right="0" w:hanging="0"/>
              <w:jc w:val="left"/>
              <w:rPr>
                <w:rFonts w:ascii="Arial" w:hAnsi="Arial" w:eastAsia="Arial" w:cs="Arial"/>
                <w:b w:val="false"/>
                <w:b w:val="false"/>
                <w:bCs w:val="false"/>
                <w:i w:val="false"/>
                <w:i w:val="false"/>
                <w:iCs w:val="false"/>
                <w:color w:val="000000"/>
                <w:spacing w:val="-1"/>
                <w:sz w:val="20"/>
                <w:szCs w:val="20"/>
                <w:u w:val="none"/>
                <w:shd w:fill="auto" w:val="clear"/>
                <w:lang w:val="ru-RU"/>
              </w:rPr>
            </w:pPr>
            <w:r>
              <w:rPr>
                <w:rFonts w:eastAsia="Arial" w:cs="Arial" w:ascii="Arial" w:hAnsi="Arial"/>
                <w:b w:val="false"/>
                <w:bCs w:val="false"/>
                <w:i w:val="false"/>
                <w:iCs w:val="false"/>
                <w:strike w:val="false"/>
                <w:dstrike w:val="false"/>
                <w:color w:val="000000"/>
                <w:spacing w:val="-1"/>
                <w:sz w:val="20"/>
                <w:szCs w:val="20"/>
                <w:u w:val="none"/>
                <w:shd w:fill="auto" w:val="clear"/>
                <w:lang w:val="ru-RU"/>
              </w:rPr>
              <w:t xml:space="preserve">- </w:t>
            </w:r>
            <w:r>
              <w:rPr>
                <w:rFonts w:eastAsia="Arial" w:cs="Liberation Serif" w:ascii="Arial" w:hAnsi="Arial"/>
                <w:b w:val="false"/>
                <w:bCs/>
                <w:i w:val="false"/>
                <w:iCs w:val="false"/>
                <w:strike w:val="false"/>
                <w:dstrike w:val="false"/>
                <w:color w:val="000000"/>
                <w:spacing w:val="-1"/>
                <w:sz w:val="20"/>
                <w:szCs w:val="20"/>
                <w:u w:val="none"/>
                <w:shd w:fill="auto" w:val="clear"/>
                <w:lang w:val="ru-RU"/>
              </w:rPr>
              <w:t xml:space="preserve">Заявление об изменении способа доставки </w:t>
            </w:r>
            <w:r>
              <w:rPr>
                <w:rFonts w:eastAsia="Arial" w:cs="Arial" w:ascii="Arial" w:hAnsi="Arial"/>
                <w:b w:val="false"/>
                <w:bCs w:val="false"/>
                <w:i w:val="false"/>
                <w:iCs w:val="false"/>
                <w:strike w:val="false"/>
                <w:dstrike w:val="false"/>
                <w:color w:val="000000"/>
                <w:spacing w:val="-1"/>
                <w:sz w:val="20"/>
                <w:szCs w:val="20"/>
                <w:u w:val="none"/>
                <w:shd w:fill="auto" w:val="clear"/>
                <w:lang w:val="ru-RU"/>
              </w:rPr>
              <w:t>ежегодной семейной выплаты;</w:t>
            </w:r>
          </w:p>
          <w:p>
            <w:pPr>
              <w:pStyle w:val="ConsPlusNormal1"/>
              <w:widowControl w:val="false"/>
              <w:suppressAutoHyphens w:val="false"/>
              <w:spacing w:lineRule="auto" w:line="240" w:before="0" w:after="0"/>
              <w:ind w:left="0" w:right="0" w:hanging="0"/>
              <w:jc w:val="left"/>
              <w:rPr>
                <w:rFonts w:ascii="Arial" w:hAnsi="Arial" w:eastAsia="Arial" w:cs="Arial"/>
                <w:b w:val="false"/>
                <w:b w:val="false"/>
                <w:bCs w:val="false"/>
                <w:i w:val="false"/>
                <w:i w:val="false"/>
                <w:iCs w:val="false"/>
                <w:color w:val="000000"/>
                <w:spacing w:val="-1"/>
                <w:sz w:val="20"/>
                <w:szCs w:val="20"/>
                <w:u w:val="none"/>
                <w:shd w:fill="auto" w:val="clear"/>
                <w:lang w:val="ru-RU"/>
              </w:rPr>
            </w:pPr>
            <w:r>
              <w:rPr>
                <w:rFonts w:eastAsia="Arial" w:cs="Arial" w:ascii="Arial" w:hAnsi="Arial"/>
                <w:b w:val="false"/>
                <w:bCs w:val="false"/>
                <w:i w:val="false"/>
                <w:iCs w:val="false"/>
                <w:strike w:val="false"/>
                <w:dstrike w:val="false"/>
                <w:color w:val="000000"/>
                <w:spacing w:val="-1"/>
                <w:sz w:val="20"/>
                <w:szCs w:val="20"/>
                <w:u w:val="none"/>
                <w:shd w:fill="auto" w:val="clear"/>
                <w:lang w:val="ru-RU"/>
              </w:rPr>
              <w:t>- Документ удостоверяющий личность заявителя;</w:t>
            </w:r>
          </w:p>
          <w:p>
            <w:pPr>
              <w:pStyle w:val="Normal"/>
              <w:widowControl w:val="false"/>
              <w:numPr>
                <w:ilvl w:val="0"/>
                <w:numId w:val="0"/>
              </w:numPr>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об опекуне (попечителе) ребенка (детей) (в случае установления опеки (попечительства) компетентным органом иностранного государства);</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доходах сотрудников органов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получаемых алиментах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помещении с назначением "жилое" (его части), занимаемом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утвержденным Минздравом России, а также о таком помещении (его части), признанном в установленном порядке непригодным для проживания;</w:t>
            </w:r>
          </w:p>
          <w:p>
            <w:pPr>
              <w:pStyle w:val="Normal"/>
              <w:widowControl w:val="false"/>
              <w:tabs>
                <w:tab w:val="clear" w:pos="720"/>
              </w:tabs>
              <w:overflowPunct w:val="false"/>
              <w:spacing w:lineRule="auto" w:line="240" w:before="0" w:after="0"/>
              <w:ind w:left="0" w:right="0" w:hanging="0"/>
              <w:jc w:val="both"/>
              <w:rPr/>
            </w:pPr>
            <w:r>
              <w:rPr>
                <w:rFonts w:ascii="Arial" w:hAnsi="Arial"/>
                <w:b w:val="false"/>
                <w:i w:val="false"/>
                <w:strike w:val="false"/>
                <w:dstrike w:val="false"/>
                <w:sz w:val="20"/>
                <w:u w:val="none"/>
              </w:rPr>
              <w:t>- Сведения о зарегистрированном на заявителя или членов его семьи автотранспортном, мототранспортном средстве, самоходной машине или другом виде техники,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движимого имущества;</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факте обучения заявителя и (или) членов его семьи в образовательной организации высшего образования по очной форме обучения и получении (отсутствии) стипендии, в том числе в период, за который рассчитывается среднедушевой доход семьи;</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нахождении заявителя и (или) членов его семьи на полном государственном обеспечении;</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прохождении заявителем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нахождении заявителя и (или) членов его семьи на принудительном лечении по решению суда;</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суммах ежемесячного пожизненного содержания судей, вышедших в отставку;</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суммах дохода, полученного от источников за пределами Российской Федерации;</w:t>
            </w:r>
          </w:p>
          <w:p>
            <w:pPr>
              <w:pStyle w:val="Normal"/>
              <w:widowControl w:val="false"/>
              <w:tabs>
                <w:tab w:val="clear" w:pos="720"/>
              </w:tabs>
              <w:overflowPunct w:val="false"/>
              <w:spacing w:lineRule="auto" w:line="240" w:before="0" w:after="0"/>
              <w:ind w:left="0" w:right="0" w:hanging="0"/>
              <w:jc w:val="both"/>
              <w:rPr/>
            </w:pPr>
            <w:r>
              <w:rPr>
                <w:rFonts w:ascii="Arial" w:hAnsi="Arial"/>
                <w:b w:val="false"/>
                <w:i w:val="false"/>
                <w:strike w:val="false"/>
                <w:dstrike w:val="false"/>
                <w:sz w:val="20"/>
                <w:u w:val="none"/>
              </w:rPr>
              <w:t xml:space="preserve">- Сведения о помещениях с назначением "жилое", зданиях с назначением "жилое", "жилое строение" и "жилой дом", земельном участке (земельных участках), которые предоставлены уполномоченным органом субъекта Российской Федерации или муниципального образования в рамках государственной социальной поддержки семьи, в том числе многодетной, или стоимость приобретения которых в полном объеме оплачена за счет денежных средств, предоставленных в рамках целевой государственной социальной поддержки на приобретение недвижимого имущества, а также о земельном участке (земельных участках), предоставленных в соответствии с Федеральным </w:t>
            </w:r>
            <w:r>
              <w:rPr>
                <w:rFonts w:ascii="Arial" w:hAnsi="Arial"/>
                <w:b w:val="false"/>
                <w:i w:val="false"/>
                <w:strike w:val="false"/>
                <w:dstrike w:val="false"/>
                <w:color w:val="000000"/>
                <w:sz w:val="20"/>
                <w:u w:val="none"/>
              </w:rPr>
              <w:t>законом</w:t>
            </w:r>
            <w:r>
              <w:rPr>
                <w:rFonts w:ascii="Arial" w:hAnsi="Arial"/>
                <w:b w:val="false"/>
                <w:i w:val="false"/>
                <w:strike w:val="false"/>
                <w:dstrike w:val="false"/>
                <w:sz w:val="20"/>
                <w:u w:val="none"/>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нахождении автотранспортного, мототранспортного средства, маломерного судна, самоходной машины или другого вида техники под арестом и (или) в розыске, а также в отношении которых установлен запрет на регистрационные действия;</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лицах, признанных безвестно отсутствующими или объявленных умершими;</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нахождении заявителя и (или) членов его семьи в розыске;</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Нотариально удостоверенное соглашение об уплате алиментов;</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shd w:fill="auto" w:val="clear"/>
              </w:rPr>
            </w:pPr>
            <w:r>
              <w:rPr>
                <w:rFonts w:ascii="Arial" w:hAnsi="Arial"/>
                <w:b w:val="false"/>
                <w:i w:val="false"/>
                <w:strike w:val="false"/>
                <w:dstrike w:val="false"/>
                <w:sz w:val="20"/>
                <w:u w:val="none"/>
                <w:shd w:fill="auto" w:val="clear"/>
              </w:rPr>
              <w:t>- Единовременная материальная помощь, выплачиваемая за счет средств федерального бюджета, бюджетов субъектов Российской Федерации, местных бюджетов и иных источников на лечение ребенка;</w:t>
            </w:r>
          </w:p>
          <w:p>
            <w:pPr>
              <w:pStyle w:val="Normal"/>
              <w:widowControl w:val="false"/>
              <w:tabs>
                <w:tab w:val="clear" w:pos="720"/>
              </w:tabs>
              <w:overflowPunct w:val="false"/>
              <w:spacing w:lineRule="auto" w:line="240" w:before="0" w:after="0"/>
              <w:ind w:left="0" w:right="0" w:hanging="0"/>
              <w:jc w:val="both"/>
              <w:rPr/>
            </w:pPr>
            <w:r>
              <w:rPr>
                <w:rFonts w:ascii="Arial" w:hAnsi="Arial"/>
                <w:b w:val="false"/>
                <w:i w:val="false"/>
                <w:strike w:val="false"/>
                <w:dstrike w:val="false"/>
                <w:sz w:val="20"/>
                <w:u w:val="none"/>
                <w:shd w:fill="auto" w:val="clear"/>
              </w:rPr>
              <w:t xml:space="preserve">- </w:t>
            </w:r>
            <w:r>
              <w:rPr>
                <w:rFonts w:ascii="Arial" w:hAnsi="Arial"/>
                <w:b w:val="false"/>
                <w:i w:val="false"/>
                <w:strike w:val="false"/>
                <w:dstrike w:val="false"/>
                <w:sz w:val="20"/>
                <w:u w:val="none"/>
              </w:rPr>
              <w:t>Сведения о налоговых вычетах по налогу на доходы физических лиц, предоставленных сотрудникам органов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в отношении доходов сотрудников органов федеральной службы безопасности, органов государственной охраны, органов внутренних дел Российской Федерации, Главного управления по обеспечению деятельности оперативных подразделений Федеральной службы исполнения наказаний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pPr>
              <w:pStyle w:val="Normal"/>
              <w:widowControl w:val="false"/>
              <w:tabs>
                <w:tab w:val="clear" w:pos="720"/>
              </w:tabs>
              <w:overflowPunct w:val="false"/>
              <w:spacing w:lineRule="auto" w:line="240" w:before="0" w:after="0"/>
              <w:ind w:left="0" w:right="0" w:hanging="0"/>
              <w:jc w:val="both"/>
              <w:rPr/>
            </w:pPr>
            <w:r>
              <w:rPr>
                <w:rFonts w:ascii="Arial" w:hAnsi="Arial"/>
                <w:b w:val="false"/>
                <w:i w:val="false"/>
                <w:strike w:val="false"/>
                <w:dstrike w:val="false"/>
                <w:sz w:val="20"/>
                <w:u w:val="none"/>
                <w:shd w:fill="auto" w:val="clear"/>
              </w:rPr>
              <w:t xml:space="preserve">- </w:t>
            </w:r>
            <w:r>
              <w:rPr>
                <w:rFonts w:ascii="Arial" w:hAnsi="Arial"/>
                <w:b w:val="false"/>
                <w:i w:val="false"/>
                <w:strike w:val="false"/>
                <w:dstrike w:val="false"/>
                <w:sz w:val="20"/>
                <w:u w:val="none"/>
              </w:rPr>
              <w:t>Сведения об оставлении ребенка (детей) в родильном доме (отделении) или иной медицинской организации;</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смерти (в случае регистрации записи соответствующего акта компетентным органом иностранного государства);</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рождении (в случае регистрации записи соответствующего акта компетентным органом иностранного государства);</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заключении (расторжении) брака (в случае регистрации записи соответствующего акта компетентным органом иностранного государства);</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доходах в виде процентов по вкладам (остаткам на счетах) в банках;</w:t>
            </w:r>
          </w:p>
          <w:p>
            <w:pPr>
              <w:pStyle w:val="Normal"/>
              <w:widowControl w:val="false"/>
              <w:spacing w:before="0" w:after="0"/>
              <w:ind w:left="0" w:right="0" w:hanging="0"/>
              <w:jc w:val="left"/>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pPr>
              <w:pStyle w:val="Normal"/>
              <w:widowControl w:val="false"/>
              <w:tabs>
                <w:tab w:val="clear" w:pos="720"/>
              </w:tabs>
              <w:overflowPunct w:val="false"/>
              <w:spacing w:lineRule="auto" w:line="240" w:before="0" w:after="0"/>
              <w:ind w:left="0" w:right="0" w:hanging="0"/>
              <w:jc w:val="both"/>
              <w:rPr>
                <w:rFonts w:ascii="Arial" w:hAnsi="Arial"/>
                <w:b w:val="false"/>
                <w:b w:val="false"/>
                <w:i w:val="false"/>
                <w:i w:val="false"/>
                <w:strike w:val="false"/>
                <w:dstrike w:val="false"/>
                <w:sz w:val="20"/>
                <w:u w:val="none"/>
              </w:rPr>
            </w:pPr>
            <w:r>
              <w:rPr>
                <w:rFonts w:ascii="Arial" w:hAnsi="Arial"/>
                <w:b w:val="false"/>
                <w:i w:val="false"/>
                <w:strike w:val="false"/>
                <w:dstrike w:val="false"/>
                <w:sz w:val="20"/>
                <w:u w:val="none"/>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pPr>
              <w:pStyle w:val="Normal"/>
              <w:widowControl w:val="false"/>
              <w:tabs>
                <w:tab w:val="clear" w:pos="720"/>
              </w:tabs>
              <w:suppressAutoHyphens w:val="false"/>
              <w:overflowPunct w:val="false"/>
              <w:spacing w:lineRule="auto" w:line="240" w:before="0" w:after="0"/>
              <w:ind w:left="0" w:right="0" w:hanging="0"/>
              <w:jc w:val="both"/>
              <w:rPr>
                <w:rFonts w:ascii="Arial" w:hAnsi="Arial" w:eastAsia="Arial" w:cs="Arial"/>
                <w:b w:val="false"/>
                <w:b w:val="false"/>
                <w:bCs w:val="false"/>
                <w:i w:val="false"/>
                <w:i w:val="false"/>
                <w:iCs w:val="false"/>
                <w:strike w:val="false"/>
                <w:dstrike w:val="false"/>
                <w:color w:val="000000"/>
                <w:spacing w:val="-1"/>
                <w:sz w:val="20"/>
                <w:szCs w:val="24"/>
                <w:u w:val="none"/>
                <w:shd w:fill="auto" w:val="clear"/>
                <w:lang w:val="ru-RU"/>
              </w:rPr>
            </w:pPr>
            <w:r>
              <w:rPr>
                <w:rFonts w:eastAsia="Arial" w:cs="Arial" w:ascii="Arial" w:hAnsi="Arial"/>
                <w:b w:val="false"/>
                <w:bCs w:val="false"/>
                <w:i w:val="false"/>
                <w:iCs w:val="false"/>
                <w:strike w:val="false"/>
                <w:dstrike w:val="false"/>
                <w:color w:val="000000"/>
                <w:spacing w:val="-1"/>
                <w:sz w:val="20"/>
                <w:szCs w:val="24"/>
                <w:u w:val="none"/>
                <w:shd w:fill="auto" w:val="clear"/>
                <w:lang w:val="ru-RU"/>
              </w:rPr>
              <w:t>- Сведения о факте обучения заявителя и (или) членов его семьи в общеобразовательной организации и профессиональной образовательной организации по очной форме обучения и получении (отсутствии) стипендии, в том числе в период, за который рассчитывается среднедушевой доход семьи.</w:t>
            </w:r>
          </w:p>
        </w:tc>
      </w:tr>
      <w:tr>
        <w:trPr>
          <w:trHeight w:val="1295"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Необязательные документы</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tabs>
                <w:tab w:val="clear" w:pos="720"/>
              </w:tabs>
              <w:spacing w:before="0" w:after="0"/>
              <w:ind w:left="0" w:right="0" w:hanging="0"/>
              <w:jc w:val="left"/>
              <w:rPr>
                <w:shd w:fill="auto" w:val="clear"/>
              </w:rPr>
            </w:pPr>
            <w:r>
              <w:rPr>
                <w:rFonts w:ascii="Arial" w:hAnsi="Arial"/>
                <w:b w:val="false"/>
                <w:i w:val="false"/>
                <w:strike w:val="false"/>
                <w:dstrike w:val="false"/>
                <w:sz w:val="20"/>
                <w:u w:val="none"/>
                <w:shd w:fill="auto" w:val="clear"/>
              </w:rPr>
              <w:t xml:space="preserve"> </w:t>
            </w:r>
            <w:r>
              <w:rPr>
                <w:rFonts w:ascii="Arial" w:hAnsi="Arial"/>
                <w:b w:val="false"/>
                <w:i w:val="false"/>
                <w:strike w:val="false"/>
                <w:dstrike w:val="false"/>
                <w:sz w:val="20"/>
                <w:u w:val="none"/>
                <w:shd w:fill="auto" w:val="clear"/>
              </w:rPr>
              <w:t xml:space="preserve">Сведения о рождении </w:t>
            </w:r>
            <w:r>
              <w:rPr>
                <w:rFonts w:eastAsia="Calibri" w:ascii="Arial" w:hAnsi="Arial"/>
                <w:b w:val="false"/>
                <w:i w:val="false"/>
                <w:strike w:val="false"/>
                <w:dstrike w:val="false"/>
                <w:color w:val="000000"/>
                <w:sz w:val="20"/>
                <w:szCs w:val="24"/>
                <w:u w:val="none"/>
                <w:shd w:fill="auto" w:val="clear"/>
                <w:lang w:val="ru-RU"/>
              </w:rPr>
              <w:t>(за исключением случаев регистрации записи соответствующего акта компетентным органом иностранного государства);</w:t>
            </w:r>
          </w:p>
          <w:p>
            <w:pPr>
              <w:pStyle w:val="Normal"/>
              <w:widowControl w:val="false"/>
              <w:tabs>
                <w:tab w:val="clear" w:pos="720"/>
              </w:tabs>
              <w:spacing w:before="0" w:after="0"/>
              <w:ind w:left="0" w:right="0" w:hanging="0"/>
              <w:jc w:val="left"/>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смерти (за исключением случаев регистрации записи соответствующего акта компетентным органом иностранного государства);</w:t>
            </w:r>
          </w:p>
          <w:p>
            <w:pPr>
              <w:pStyle w:val="Normal"/>
              <w:widowControl w:val="false"/>
              <w:tabs>
                <w:tab w:val="clear" w:pos="720"/>
              </w:tabs>
              <w:spacing w:before="0" w:after="0"/>
              <w:ind w:left="0" w:right="0" w:hanging="0"/>
              <w:jc w:val="left"/>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заключении (расторжении) брака (за исключением случаев регистрации записи соответствующего акта компетентным органом иностранного государства);</w:t>
            </w:r>
          </w:p>
          <w:p>
            <w:pPr>
              <w:pStyle w:val="Normal"/>
              <w:widowControl w:val="false"/>
              <w:tabs>
                <w:tab w:val="clear" w:pos="720"/>
              </w:tabs>
              <w:spacing w:before="0" w:after="0"/>
              <w:ind w:left="0" w:right="0" w:hanging="0"/>
              <w:jc w:val="left"/>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содержащиеся в решении органа опеки и попечительства об установлении опеки или попечительства над ребенком;</w:t>
            </w:r>
          </w:p>
          <w:p>
            <w:pPr>
              <w:pStyle w:val="Normal"/>
              <w:widowControl w:val="false"/>
              <w:tabs>
                <w:tab w:val="clear" w:pos="720"/>
                <w:tab w:val="left" w:pos="7382" w:leader="none"/>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об опекуне (попечителе) ребенка (детей), в отношении которого (которых) подано заявление (за исключением случая установления опеки (попечительства) компетентным органом иностранного государства);</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об ограничении дееспособности или признании родителя либо иного законного представителя ребенка недееспособным;</w:t>
            </w:r>
          </w:p>
          <w:p>
            <w:pPr>
              <w:pStyle w:val="Normal"/>
              <w:widowControl w:val="false"/>
              <w:tabs>
                <w:tab w:val="clear" w:pos="720"/>
              </w:tabs>
              <w:spacing w:lineRule="auto" w:line="240" w:before="0" w:after="0"/>
              <w:ind w:left="0" w:right="0" w:hanging="0"/>
              <w:jc w:val="both"/>
              <w:rPr>
                <w:rFonts w:ascii="Arial" w:hAnsi="Arial" w:eastAsia="Calibri"/>
                <w:color w:val="000000"/>
                <w:sz w:val="24"/>
                <w:szCs w:val="24"/>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w:t>
            </w:r>
          </w:p>
          <w:p>
            <w:pPr>
              <w:pStyle w:val="Normal"/>
              <w:widowControl w:val="false"/>
              <w:tabs>
                <w:tab w:val="clear" w:pos="720"/>
              </w:tabs>
              <w:spacing w:lineRule="auto" w:line="240" w:before="0" w:after="0"/>
              <w:ind w:left="0" w:right="0" w:hanging="0"/>
              <w:jc w:val="both"/>
              <w:rPr>
                <w:rFonts w:ascii="Arial" w:hAnsi="Arial" w:eastAsia="Calibri" w:cs="Calibri"/>
                <w:b w:val="false"/>
                <w:b w:val="false"/>
                <w:i w:val="false"/>
                <w:i w:val="false"/>
                <w:strike w:val="false"/>
                <w:dstrike w:val="false"/>
                <w:color w:val="000000"/>
                <w:sz w:val="20"/>
                <w:szCs w:val="24"/>
                <w:u w:val="none"/>
                <w:shd w:fill="E8F2A1" w:val="clear"/>
                <w:lang w:val="ru-RU"/>
              </w:rPr>
            </w:pPr>
            <w:r>
              <w:rPr>
                <w:rFonts w:eastAsia="Calibri" w:cs="Calibri" w:ascii="Arial" w:hAnsi="Arial"/>
                <w:b w:val="false"/>
                <w:i w:val="false"/>
                <w:strike w:val="false"/>
                <w:dstrike w:val="false"/>
                <w:color w:val="000000"/>
                <w:sz w:val="20"/>
                <w:szCs w:val="24"/>
                <w:u w:val="none"/>
                <w:shd w:fill="auto" w:val="clear"/>
                <w:lang w:val="ru-RU"/>
              </w:rPr>
              <w:t>- Сведения о доходах военнослужащих, граждан, пребывающих в добровольческих формированиях,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pPr>
              <w:pStyle w:val="Normal"/>
              <w:widowControl w:val="false"/>
              <w:tabs>
                <w:tab w:val="clear" w:pos="720"/>
              </w:tabs>
              <w:spacing w:lineRule="auto" w:line="240" w:before="0" w:after="0"/>
              <w:ind w:left="0" w:right="0" w:hanging="0"/>
              <w:jc w:val="both"/>
              <w:rPr>
                <w:rFonts w:ascii="Arial" w:hAnsi="Arial" w:eastAsia="Calibri"/>
                <w:color w:val="000000"/>
                <w:sz w:val="24"/>
                <w:szCs w:val="24"/>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w:t>
            </w:r>
          </w:p>
          <w:p>
            <w:pPr>
              <w:pStyle w:val="Normal"/>
              <w:widowControl w:val="false"/>
              <w:spacing w:before="0" w:after="0"/>
              <w:ind w:left="0" w:right="0" w:hanging="0"/>
              <w:jc w:val="left"/>
              <w:rPr>
                <w:rFonts w:ascii="Arial" w:hAnsi="Arial"/>
                <w:b w:val="false"/>
                <w:b w:val="false"/>
                <w:i w:val="false"/>
                <w:i w:val="false"/>
                <w:strike w:val="false"/>
                <w:dstrike w:val="false"/>
                <w:sz w:val="20"/>
                <w:u w:val="none"/>
                <w:shd w:fill="auto" w:val="clear"/>
              </w:rPr>
            </w:pPr>
            <w:r>
              <w:rPr>
                <w:rFonts w:ascii="Arial" w:hAnsi="Arial"/>
                <w:b w:val="false"/>
                <w:i w:val="false"/>
                <w:strike w:val="false"/>
                <w:dstrike w:val="false"/>
                <w:sz w:val="20"/>
                <w:u w:val="none"/>
                <w:shd w:fill="auto" w:val="clear"/>
              </w:rPr>
              <w:t>- Сведения о доходах в виде процентов по вкладам (остаткам на счетах) в банках</w:t>
            </w:r>
          </w:p>
          <w:p>
            <w:pPr>
              <w:pStyle w:val="Normal"/>
              <w:widowControl w:val="false"/>
              <w:spacing w:before="0" w:after="0"/>
              <w:ind w:left="0" w:right="0" w:hanging="0"/>
              <w:jc w:val="left"/>
              <w:rPr>
                <w:rFonts w:ascii="Arial" w:hAnsi="Arial"/>
                <w:b w:val="false"/>
                <w:b w:val="false"/>
                <w:i w:val="false"/>
                <w:i w:val="false"/>
                <w:strike w:val="false"/>
                <w:dstrike w:val="false"/>
                <w:sz w:val="20"/>
                <w:u w:val="none"/>
                <w:shd w:fill="auto" w:val="clear"/>
              </w:rPr>
            </w:pPr>
            <w:r>
              <w:rPr>
                <w:rFonts w:ascii="Arial" w:hAnsi="Arial"/>
                <w:b w:val="false"/>
                <w:i w:val="false"/>
                <w:strike w:val="false"/>
                <w:dstrike w:val="false"/>
                <w:sz w:val="20"/>
                <w:u w:val="none"/>
                <w:shd w:fill="auto" w:val="clear"/>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занятия частной практикой</w:t>
            </w:r>
          </w:p>
          <w:p>
            <w:pPr>
              <w:pStyle w:val="Normal"/>
              <w:widowControl w:val="false"/>
              <w:spacing w:before="0" w:after="0"/>
              <w:ind w:left="0" w:right="0" w:hanging="0"/>
              <w:jc w:val="left"/>
              <w:rPr>
                <w:rFonts w:ascii="Arial" w:hAnsi="Arial"/>
                <w:b w:val="false"/>
                <w:b w:val="false"/>
                <w:i w:val="false"/>
                <w:i w:val="false"/>
                <w:strike w:val="false"/>
                <w:dstrike w:val="false"/>
                <w:sz w:val="20"/>
                <w:u w:val="none"/>
                <w:shd w:fill="auto" w:val="clear"/>
              </w:rPr>
            </w:pPr>
            <w:r>
              <w:rPr>
                <w:rFonts w:ascii="Arial" w:hAnsi="Arial"/>
                <w:b w:val="false"/>
                <w:i w:val="false"/>
                <w:strike w:val="false"/>
                <w:dstrike w:val="false"/>
                <w:sz w:val="20"/>
                <w:u w:val="none"/>
                <w:shd w:fill="auto" w:val="clear"/>
              </w:rPr>
              <w:t>- Сведения о доходах, полученных в рамках применения специального налогового режима "Налог на профессиональный доход"</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Сведения о налогооблагаемых доходах от реализации имущества, а также доходах от сдачи в аренду (наем, поднаем) имущества;</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недвижимом имуществе, содержащиеся в Едином государственном реестре недвижимости (в том числе, находящемся под арестом и (или) в отношении которого установлен запрет на регистрационные действия);</w:t>
            </w:r>
          </w:p>
          <w:p>
            <w:pPr>
              <w:pStyle w:val="Normal"/>
              <w:widowControl w:val="false"/>
              <w:spacing w:before="0" w:after="0"/>
              <w:ind w:left="0" w:right="0" w:hanging="0"/>
              <w:jc w:val="left"/>
              <w:rPr>
                <w:rFonts w:ascii="Arial" w:hAnsi="Arial"/>
                <w:b w:val="false"/>
                <w:b w:val="false"/>
                <w:i w:val="false"/>
                <w:i w:val="false"/>
                <w:strike w:val="false"/>
                <w:dstrike w:val="false"/>
                <w:sz w:val="20"/>
                <w:u w:val="none"/>
                <w:shd w:fill="auto" w:val="clear"/>
              </w:rPr>
            </w:pPr>
            <w:r>
              <w:rPr>
                <w:rFonts w:ascii="Arial" w:hAnsi="Arial"/>
                <w:b w:val="false"/>
                <w:i w:val="false"/>
                <w:strike w:val="false"/>
                <w:dstrike w:val="false"/>
                <w:sz w:val="20"/>
                <w:u w:val="none"/>
                <w:shd w:fill="auto" w:val="clear"/>
              </w:rPr>
              <w:t>- Сведения о ранее выданных паспортах, удостоверяющих личность гражданина на территории Российской Федерации</w:t>
            </w:r>
          </w:p>
          <w:p>
            <w:pPr>
              <w:pStyle w:val="Normal"/>
              <w:widowControl w:val="false"/>
              <w:tabs>
                <w:tab w:val="clear" w:pos="720"/>
              </w:tabs>
              <w:spacing w:lineRule="auto" w:line="240" w:before="0" w:after="0"/>
              <w:ind w:left="0" w:right="0" w:hanging="0"/>
              <w:jc w:val="both"/>
              <w:rPr>
                <w:rFonts w:ascii="Arial" w:hAnsi="Arial" w:eastAsia="Calibri"/>
                <w:b w:val="false"/>
                <w:b w:val="false"/>
                <w:i w:val="false"/>
                <w:i w:val="false"/>
                <w:strike w:val="false"/>
                <w:dstrike w:val="false"/>
                <w:color w:val="000000"/>
                <w:sz w:val="20"/>
                <w:szCs w:val="24"/>
                <w:u w:val="none"/>
                <w:shd w:fill="auto" w:val="clear"/>
                <w:lang w:val="ru-RU"/>
              </w:rPr>
            </w:pPr>
            <w:r>
              <w:rPr>
                <w:rFonts w:eastAsia="Calibri" w:ascii="Arial" w:hAnsi="Arial"/>
                <w:b w:val="false"/>
                <w:i w:val="false"/>
                <w:strike w:val="false"/>
                <w:dstrike w:val="false"/>
                <w:color w:val="000000"/>
                <w:sz w:val="20"/>
                <w:szCs w:val="24"/>
                <w:u w:val="none"/>
                <w:shd w:fill="auto" w:val="clear"/>
                <w:lang w:val="ru-RU"/>
              </w:rPr>
              <w:t>- Сведения о регистрации по месту жительства и месту пребывания гражданина Российской Федерации в пределах Российской Федерации;</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и о задолженности по уплате алиментов</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транспортных средствах</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маломерных водных судах, год выпуска которых не превышает 5 лет</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пребывании в местах лишения свободы членов семьи заявителя</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наличии инвалидности и ее группе (при наличии)</w:t>
            </w:r>
          </w:p>
          <w:p>
            <w:pPr>
              <w:pStyle w:val="Normal"/>
              <w:widowControl w:val="false"/>
              <w:tabs>
                <w:tab w:val="clear" w:pos="720"/>
              </w:tabs>
              <w:spacing w:lineRule="auto" w:line="240" w:before="0" w:after="0"/>
              <w:ind w:left="0" w:right="0" w:hanging="0"/>
              <w:jc w:val="both"/>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color w:val="000000"/>
                <w:sz w:val="20"/>
                <w:u w:val="none"/>
                <w:shd w:fill="auto" w:val="clear"/>
              </w:rPr>
              <w:t>Сведения о самоходных машинах и других видах техники, зарегистрированных в соответствии с Правилами государственной регистрации самоходных машин и других видов техники, утвержденными постановлением Правительства Российской Федерации от 21 сентября 2020 г.</w:t>
            </w:r>
            <w:r>
              <w:rPr>
                <w:rFonts w:ascii="Arial" w:hAnsi="Arial"/>
                <w:b w:val="false"/>
                <w:i w:val="false"/>
                <w:strike w:val="false"/>
                <w:dstrike w:val="false"/>
                <w:sz w:val="20"/>
                <w:u w:val="none"/>
                <w:shd w:fill="auto" w:val="clear"/>
              </w:rPr>
              <w:t xml:space="preserve"> N 1507 "Об утверждении Правил государственной регистрации самоходных машин и других видов техники"</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факте обучения заявителя и (или) членов его семьи в общеобразовательной организации и профессиональной образовательной организации по очной форме обучения и получении (отсутствии) стипендии, в том числе в период, за который рассчитывается среднедушевой доход семьи</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применении в отношении заявителя и (или) членов его семьи меры пресечения в виде заключения под стражу</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статусе семьи "многодетная"</w:t>
            </w:r>
          </w:p>
          <w:p>
            <w:pPr>
              <w:pStyle w:val="Normal"/>
              <w:widowControl w:val="false"/>
              <w:tabs>
                <w:tab w:val="clear" w:pos="720"/>
              </w:tabs>
              <w:spacing w:lineRule="auto" w:line="240" w:before="0" w:after="0"/>
              <w:ind w:left="0" w:right="0" w:hanging="0"/>
              <w:jc w:val="both"/>
              <w:rPr>
                <w:shd w:fill="auto" w:val="clear"/>
              </w:rPr>
            </w:pPr>
            <w:r>
              <w:rPr>
                <w:rFonts w:eastAsia="Calibri" w:ascii="Arial" w:hAnsi="Arial"/>
                <w:b w:val="false"/>
                <w:i w:val="false"/>
                <w:strike w:val="false"/>
                <w:dstrike w:val="false"/>
                <w:color w:val="000000"/>
                <w:sz w:val="20"/>
                <w:szCs w:val="24"/>
                <w:u w:val="none"/>
                <w:shd w:fill="auto" w:val="clear"/>
                <w:lang w:val="ru-RU"/>
              </w:rPr>
              <w:t xml:space="preserve">- </w:t>
            </w:r>
            <w:r>
              <w:rPr>
                <w:rFonts w:ascii="Arial" w:hAnsi="Arial"/>
                <w:b w:val="false"/>
                <w:i w:val="false"/>
                <w:strike w:val="false"/>
                <w:dstrike w:val="false"/>
                <w:sz w:val="20"/>
                <w:u w:val="none"/>
                <w:shd w:fill="auto" w:val="clear"/>
              </w:rPr>
              <w:t>Сведения о доходах, полученных в результате выигрышей, выплачиваемых организаторами лотерей, тотализаторов и других основанных на риске игр</w:t>
            </w:r>
          </w:p>
          <w:p>
            <w:pPr>
              <w:pStyle w:val="Normal"/>
              <w:widowControl w:val="false"/>
              <w:tabs>
                <w:tab w:val="clear" w:pos="720"/>
              </w:tabs>
              <w:spacing w:lineRule="auto" w:line="240" w:before="0" w:after="0"/>
              <w:ind w:left="0" w:right="0" w:hanging="0"/>
              <w:jc w:val="both"/>
              <w:rPr>
                <w:rFonts w:ascii="Arial" w:hAnsi="Arial" w:cs="Calibri"/>
                <w:sz w:val="20"/>
              </w:rPr>
            </w:pPr>
            <w:r>
              <w:rPr>
                <w:rFonts w:eastAsia="Calibri" w:cs="Calibri" w:ascii="Arial" w:hAnsi="Arial"/>
                <w:b w:val="false"/>
                <w:i w:val="false"/>
                <w:strike w:val="false"/>
                <w:dstrike w:val="false"/>
                <w:color w:val="000000"/>
                <w:sz w:val="20"/>
                <w:szCs w:val="24"/>
                <w:u w:val="none"/>
                <w:shd w:fill="auto" w:val="clear"/>
                <w:lang w:val="ru-RU"/>
              </w:rPr>
              <w:t>- Сведения о сумме расчетного исчисленного налога на доходы физических лиц с доходов заявителя, полученных в году, предшествующем году обращения за назначением ежегодной семейной выплаты, о сумме, исчисленной с того же дохода в размере 6 процентов в соответствии с пунктом 7 Правил осуществления ежегодной семейной выплаты гражданам Российской Федерации, имеющим 2 и более детей, утвержденных постановлением Правительства Российской Федерации от 27 декабря 2025 г. N 2173 "Об осуществлении ежегодной семейной выплаты гражданам Российской Федерации, имеющим 2 и более детей"</w:t>
            </w:r>
          </w:p>
        </w:tc>
      </w:tr>
      <w:tr>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Результат</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0"/>
              <w:ind w:left="0" w:right="0" w:hanging="0"/>
              <w:jc w:val="both"/>
              <w:rPr>
                <w:rFonts w:ascii="Arial" w:hAnsi="Arial" w:cs="Arial"/>
                <w:sz w:val="20"/>
                <w:szCs w:val="20"/>
              </w:rPr>
            </w:pPr>
            <w:r>
              <w:rPr>
                <w:rFonts w:cs="Arial" w:ascii="Arial" w:hAnsi="Arial"/>
                <w:b w:val="false"/>
                <w:i w:val="false"/>
                <w:strike w:val="false"/>
                <w:dstrike w:val="false"/>
                <w:sz w:val="20"/>
                <w:szCs w:val="20"/>
                <w:u w:val="none"/>
              </w:rPr>
              <w:t>Решение о назначении либо об отказе в назначении</w:t>
            </w:r>
            <w:r>
              <w:rPr>
                <w:rFonts w:cs="Arial" w:ascii="Arial" w:hAnsi="Arial"/>
                <w:b w:val="false"/>
                <w:i w:val="false"/>
                <w:strike w:val="false"/>
                <w:dstrike w:val="false"/>
                <w:sz w:val="20"/>
                <w:szCs w:val="20"/>
                <w:u w:val="none"/>
                <w:lang w:val="ru-RU"/>
              </w:rPr>
              <w:t xml:space="preserve"> ежегодной семейной выплаты. </w:t>
            </w:r>
            <w:r>
              <w:rPr>
                <w:rFonts w:cs="Arial" w:ascii="Arial" w:hAnsi="Arial"/>
                <w:b/>
                <w:bCs/>
                <w:i w:val="false"/>
                <w:strike w:val="false"/>
                <w:dstrike w:val="false"/>
                <w:sz w:val="20"/>
                <w:szCs w:val="20"/>
                <w:u w:val="none"/>
                <w:lang w:val="ru-RU"/>
              </w:rPr>
              <w:t>Результат (а также доработка) в МФЦ не поступает. Донесение в орган (сами связываются с заявителем).</w:t>
            </w:r>
          </w:p>
        </w:tc>
      </w:tr>
      <w:tr>
        <w:trPr>
          <w:trHeight w:val="1171"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Срок предоставления услуги</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lineRule="auto" w:line="240" w:before="0" w:after="0"/>
              <w:jc w:val="both"/>
              <w:rPr>
                <w:color w:val="000000"/>
              </w:rPr>
            </w:pPr>
            <w:r>
              <w:rPr>
                <w:rFonts w:cs="Arial" w:ascii="Arial" w:hAnsi="Arial"/>
                <w:color w:val="000000"/>
                <w:sz w:val="20"/>
                <w:szCs w:val="20"/>
              </w:rPr>
              <w:t>10 рабочих дней со дня регистрации заявления, срок принятия решения о назначении либо об отказе в назначении ежегодной семейной выплаты продлевается на 20 рабочих дней в случае непоступления документов (сведений), запрашиваемых в рамках межведомственного электронного взаимодействия, или предоставления недостающих документов (сведений) позднее 5 рабочих дней со дня регистрации заявления о назначении ежегодной семейной выплаты.</w:t>
            </w:r>
          </w:p>
          <w:p>
            <w:pPr>
              <w:pStyle w:val="Normal"/>
              <w:widowControl w:val="false"/>
              <w:spacing w:lineRule="auto" w:line="240" w:before="0" w:after="0"/>
              <w:jc w:val="both"/>
              <w:rPr>
                <w:color w:val="000000"/>
              </w:rPr>
            </w:pPr>
            <w:r>
              <w:rPr>
                <w:color w:val="000000"/>
              </w:rPr>
            </w:r>
          </w:p>
          <w:p>
            <w:pPr>
              <w:pStyle w:val="Normal"/>
              <w:widowControl w:val="false"/>
              <w:spacing w:lineRule="auto" w:line="240" w:before="0" w:after="0"/>
              <w:jc w:val="both"/>
              <w:rPr>
                <w:b/>
                <w:b/>
                <w:bCs/>
                <w:color w:val="000000"/>
              </w:rPr>
            </w:pPr>
            <w:r>
              <w:rPr>
                <w:rFonts w:cs="Arial" w:ascii="Arial" w:hAnsi="Arial"/>
                <w:b/>
                <w:bCs/>
                <w:color w:val="000000"/>
                <w:sz w:val="20"/>
                <w:szCs w:val="20"/>
              </w:rPr>
              <w:t>Перечисление средств происходит в течение 5 рабочих дней после принятия решения о назначении выплаты. Получение выплаты осуществляется только на счет в кредитной организации.</w:t>
            </w:r>
          </w:p>
        </w:tc>
      </w:tr>
      <w:tr>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Основания для отказа в приеме заявления</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pacing w:before="0" w:after="0"/>
              <w:ind w:left="0" w:right="0" w:hanging="0"/>
              <w:jc w:val="both"/>
              <w:rPr>
                <w:rFonts w:ascii="Arial" w:hAnsi="Arial"/>
                <w:sz w:val="20"/>
                <w:szCs w:val="20"/>
              </w:rPr>
            </w:pPr>
            <w:r>
              <w:rPr>
                <w:rFonts w:ascii="Arial" w:hAnsi="Arial"/>
                <w:b w:val="false"/>
                <w:i w:val="false"/>
                <w:strike w:val="false"/>
                <w:dstrike w:val="false"/>
                <w:sz w:val="20"/>
                <w:szCs w:val="20"/>
                <w:u w:val="none"/>
                <w:lang w:val="ru-RU"/>
              </w:rPr>
              <w:t>- Н</w:t>
            </w:r>
            <w:r>
              <w:rPr>
                <w:rFonts w:ascii="Arial" w:hAnsi="Arial"/>
                <w:b w:val="false"/>
                <w:i w:val="false"/>
                <w:strike w:val="false"/>
                <w:dstrike w:val="false"/>
                <w:sz w:val="20"/>
                <w:szCs w:val="20"/>
                <w:u w:val="none"/>
              </w:rPr>
              <w:t>еустановление личности лица, обратившегося за предоставлением государственной услуги (непредъявление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tc>
      </w:tr>
      <w:tr>
        <w:trPr>
          <w:trHeight w:val="626" w:hRule="atLeast"/>
        </w:trPr>
        <w:tc>
          <w:tcPr>
            <w:tcW w:w="2447" w:type="dxa"/>
            <w:tcBorders>
              <w:top w:val="single" w:sz="6" w:space="0" w:color="EDEDED"/>
              <w:bottom w:val="single" w:sz="6" w:space="0" w:color="EDEDED"/>
              <w:right w:val="single" w:sz="6" w:space="0" w:color="EDEDED"/>
            </w:tcBorders>
            <w:shd w:color="auto" w:fill="DBE5F1" w:themeFill="accent1" w:themeFillTint="33" w:val="clear"/>
          </w:tcPr>
          <w:p>
            <w:pPr>
              <w:pStyle w:val="Normal"/>
              <w:widowControl w:val="false"/>
              <w:spacing w:lineRule="auto" w:line="240" w:before="0" w:after="0"/>
              <w:rPr>
                <w:rFonts w:ascii="Arial" w:hAnsi="Arial" w:eastAsia="Times New Roman" w:cs="Arial"/>
                <w:b/>
                <w:b/>
                <w:color w:val="403152" w:themeColor="accent4" w:themeShade="80"/>
                <w:sz w:val="20"/>
                <w:szCs w:val="20"/>
                <w:lang w:eastAsia="ru-RU"/>
              </w:rPr>
            </w:pPr>
            <w:r>
              <w:rPr>
                <w:rFonts w:eastAsia="Times New Roman" w:cs="Arial" w:ascii="Arial" w:hAnsi="Arial"/>
                <w:b/>
                <w:color w:val="403152" w:themeColor="accent4" w:themeShade="80"/>
                <w:sz w:val="20"/>
                <w:szCs w:val="20"/>
                <w:lang w:eastAsia="ru-RU"/>
              </w:rPr>
              <w:t>Административный регламент</w:t>
            </w:r>
          </w:p>
        </w:tc>
        <w:tc>
          <w:tcPr>
            <w:tcW w:w="12995" w:type="dxa"/>
            <w:tcBorders>
              <w:top w:val="single" w:sz="6" w:space="0" w:color="EDEDED"/>
              <w:left w:val="single" w:sz="6" w:space="0" w:color="EDEDED"/>
              <w:bottom w:val="single" w:sz="6" w:space="0" w:color="EDEDED"/>
              <w:right w:val="single" w:sz="6" w:space="0" w:color="EDEDED"/>
            </w:tcBorders>
            <w:shd w:color="auto" w:fill="auto" w:val="clear"/>
          </w:tcPr>
          <w:p>
            <w:pPr>
              <w:pStyle w:val="Normal"/>
              <w:widowControl w:val="false"/>
              <w:shd w:val="clear" w:fill="FFFFFF"/>
              <w:spacing w:before="0" w:after="0"/>
              <w:ind w:left="0" w:right="0" w:hanging="0"/>
              <w:jc w:val="both"/>
              <w:rPr>
                <w:rFonts w:ascii="Arial" w:hAnsi="Arial" w:cs="Liberation Serif"/>
                <w:color w:val="000000"/>
                <w:spacing w:val="-1"/>
                <w:w w:val="105"/>
                <w:kern w:val="2"/>
                <w:sz w:val="20"/>
                <w:szCs w:val="20"/>
                <w:lang w:eastAsia="zh-CN" w:bidi="hi-IN"/>
              </w:rPr>
            </w:pPr>
            <w:r>
              <w:rPr>
                <w:rFonts w:eastAsia="Calibri" w:cs="Liberation Serif" w:ascii="Arial" w:hAnsi="Arial"/>
                <w:b w:val="false"/>
                <w:bCs w:val="false"/>
                <w:i w:val="false"/>
                <w:iCs w:val="false"/>
                <w:color w:val="000000"/>
                <w:spacing w:val="-1"/>
                <w:w w:val="105"/>
                <w:kern w:val="2"/>
                <w:sz w:val="20"/>
                <w:szCs w:val="20"/>
                <w:shd w:fill="auto" w:val="clear"/>
                <w:lang w:eastAsia="zh-CN" w:bidi="hi-IN"/>
              </w:rPr>
              <w:t>Федеральн</w:t>
            </w:r>
            <w:r>
              <w:rPr>
                <w:rFonts w:eastAsia="Calibri" w:cs="Liberation Serif" w:ascii="Arial" w:hAnsi="Arial"/>
                <w:b w:val="false"/>
                <w:bCs w:val="false"/>
                <w:i w:val="false"/>
                <w:iCs w:val="false"/>
                <w:color w:val="000000"/>
                <w:spacing w:val="-1"/>
                <w:w w:val="105"/>
                <w:kern w:val="2"/>
                <w:sz w:val="20"/>
                <w:szCs w:val="20"/>
                <w:shd w:fill="auto" w:val="clear"/>
                <w:lang w:val="ru-RU" w:eastAsia="zh-CN" w:bidi="hi-IN"/>
              </w:rPr>
              <w:t>ый</w:t>
            </w:r>
            <w:r>
              <w:rPr>
                <w:rFonts w:eastAsia="Calibri" w:cs="Liberation Serif" w:ascii="Arial" w:hAnsi="Arial"/>
                <w:b w:val="false"/>
                <w:bCs w:val="false"/>
                <w:i w:val="false"/>
                <w:iCs w:val="false"/>
                <w:color w:val="000000"/>
                <w:spacing w:val="-1"/>
                <w:w w:val="105"/>
                <w:kern w:val="2"/>
                <w:sz w:val="20"/>
                <w:szCs w:val="20"/>
                <w:shd w:fill="auto" w:val="clear"/>
                <w:lang w:eastAsia="zh-CN" w:bidi="hi-IN"/>
              </w:rPr>
              <w:t xml:space="preserve"> закон от 13.07.2024 № 179-ФЗ  «О ежегодной семейной выплате гражданам Российской Федерации (РФ), имеющим двух и более детей»</w:t>
            </w:r>
          </w:p>
          <w:p>
            <w:pPr>
              <w:pStyle w:val="Normal"/>
              <w:widowControl w:val="false"/>
              <w:shd w:val="clear" w:fill="FFFFFF"/>
              <w:spacing w:before="0" w:after="0"/>
              <w:ind w:left="0" w:right="0" w:hanging="0"/>
              <w:jc w:val="both"/>
              <w:rPr>
                <w:rFonts w:ascii="Arial" w:hAnsi="Arial" w:cs="Liberation Serif"/>
                <w:b w:val="false"/>
                <w:b w:val="false"/>
                <w:color w:val="000000"/>
                <w:sz w:val="20"/>
                <w:szCs w:val="20"/>
                <w:shd w:fill="auto" w:val="clear"/>
              </w:rPr>
            </w:pPr>
            <w:r>
              <w:rPr>
                <w:rFonts w:eastAsia="Calibri" w:cs="Liberation Serif" w:ascii="Arial" w:hAnsi="Arial"/>
                <w:b w:val="false"/>
                <w:bCs w:val="false"/>
                <w:i w:val="false"/>
                <w:iCs w:val="false"/>
                <w:color w:val="000000"/>
                <w:spacing w:val="-1"/>
                <w:w w:val="105"/>
                <w:kern w:val="2"/>
                <w:sz w:val="20"/>
                <w:szCs w:val="20"/>
                <w:shd w:fill="auto" w:val="clear"/>
                <w:lang w:eastAsia="zh-CN" w:bidi="hi-IN"/>
              </w:rPr>
              <w:t>Постановление Правительства РФ от 27.12.2025 № 2173 "Об осуществлении ежегодной семейной выплаты гражданам Российской Федерации, имеющим 2 и более детей"</w:t>
            </w:r>
          </w:p>
        </w:tc>
      </w:tr>
    </w:tbl>
    <w:p>
      <w:pPr>
        <w:pStyle w:val="Normal"/>
        <w:spacing w:before="0" w:after="200"/>
        <w:jc w:val="right"/>
        <w:rPr>
          <w:rFonts w:ascii="Arial" w:hAnsi="Arial" w:cs="Arial"/>
          <w:sz w:val="21"/>
          <w:szCs w:val="21"/>
        </w:rPr>
      </w:pPr>
      <w:r>
        <w:rPr/>
      </w:r>
    </w:p>
    <w:sectPr>
      <w:type w:val="nextPage"/>
      <w:pgSz w:orient="landscape" w:w="16838" w:h="11906"/>
      <w:pgMar w:left="851" w:right="1134" w:header="0" w:top="426" w:footer="0" w:bottom="85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Microsoft Sans Serif">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9"/>
    <w:qFormat/>
    <w:rsid w:val="000a15b1"/>
    <w:pPr>
      <w:spacing w:lineRule="auto" w:line="240" w:beforeAutospacing="1" w:afterAutospacing="1"/>
      <w:outlineLvl w:val="0"/>
    </w:pPr>
    <w:rPr>
      <w:rFonts w:ascii="Times New Roman" w:hAnsi="Times New Roman" w:eastAsia="Times New Roman" w:cs="Times New Roman"/>
      <w:b/>
      <w:bCs/>
      <w:kern w:val="2"/>
      <w:sz w:val="48"/>
      <w:szCs w:val="48"/>
      <w:lang w:eastAsia="ru-RU"/>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236378"/>
    <w:rPr>
      <w:rFonts w:ascii="Tahoma" w:hAnsi="Tahoma" w:cs="Tahoma"/>
      <w:sz w:val="16"/>
      <w:szCs w:val="16"/>
    </w:rPr>
  </w:style>
  <w:style w:type="character" w:styleId="11" w:customStyle="1">
    <w:name w:val="Заголовок 1 Знак"/>
    <w:basedOn w:val="DefaultParagraphFont"/>
    <w:link w:val="1"/>
    <w:uiPriority w:val="9"/>
    <w:qFormat/>
    <w:rsid w:val="000a15b1"/>
    <w:rPr>
      <w:rFonts w:ascii="Times New Roman" w:hAnsi="Times New Roman" w:eastAsia="Times New Roman" w:cs="Times New Roman"/>
      <w:b/>
      <w:bCs/>
      <w:kern w:val="2"/>
      <w:sz w:val="48"/>
      <w:szCs w:val="48"/>
      <w:lang w:eastAsia="ru-RU"/>
    </w:rPr>
  </w:style>
  <w:style w:type="character" w:styleId="Style14" w:customStyle="1">
    <w:name w:val="Интернет-ссылка"/>
    <w:basedOn w:val="DefaultParagraphFont"/>
    <w:uiPriority w:val="99"/>
    <w:semiHidden/>
    <w:unhideWhenUsed/>
    <w:rsid w:val="00564d10"/>
    <w:rPr>
      <w:color w:val="0000FF"/>
      <w:u w:val="single"/>
    </w:rPr>
  </w:style>
  <w:style w:type="character" w:styleId="Style15">
    <w:name w:val="Выделение"/>
    <w:basedOn w:val="DefaultParagraphFont"/>
    <w:uiPriority w:val="20"/>
    <w:qFormat/>
    <w:rsid w:val="008160b2"/>
    <w:rPr>
      <w:i/>
      <w:iCs/>
    </w:rPr>
  </w:style>
  <w:style w:type="character" w:styleId="ConsPlusNormal" w:customStyle="1">
    <w:name w:val="ConsPlusNormal Знак"/>
    <w:basedOn w:val="DefaultParagraphFont"/>
    <w:link w:val="ConsPlusNormal"/>
    <w:qFormat/>
    <w:locked/>
    <w:rsid w:val="00575d31"/>
    <w:rPr>
      <w:rFonts w:ascii="Calibri" w:hAnsi="Calibri" w:eastAsia="Times New Roman" w:cs="Calibri"/>
      <w:szCs w:val="20"/>
      <w:lang w:eastAsia="ru-RU"/>
    </w:rPr>
  </w:style>
  <w:style w:type="character" w:styleId="Ngscope" w:customStyle="1">
    <w:name w:val="ng-scope"/>
    <w:basedOn w:val="DefaultParagraphFont"/>
    <w:qFormat/>
    <w:rsid w:val="000f6416"/>
    <w:rPr/>
  </w:style>
  <w:style w:type="character" w:styleId="Strong">
    <w:name w:val="Strong"/>
    <w:basedOn w:val="DefaultParagraphFont"/>
    <w:uiPriority w:val="22"/>
    <w:qFormat/>
    <w:rsid w:val="00d7434a"/>
    <w:rPr>
      <w:b/>
      <w:bCs/>
    </w:rPr>
  </w:style>
  <w:style w:type="character" w:styleId="DefaultFontStyle" w:customStyle="1">
    <w:name w:val="DefaultFontStyle"/>
    <w:qFormat/>
    <w:rPr>
      <w:rFonts w:ascii="Courier New" w:hAnsi="Courier New" w:eastAsia="Courier New" w:cs="Courier New"/>
      <w:color w:val="000000"/>
      <w:spacing w:val="0"/>
      <w:w w:val="100"/>
      <w:position w:val="0"/>
      <w:sz w:val="24"/>
      <w:sz w:val="24"/>
      <w:szCs w:val="24"/>
      <w:vertAlign w:val="baseline"/>
      <w:lang w:val="ru-RU" w:eastAsia="ru-RU" w:bidi="ru-RU"/>
    </w:rPr>
  </w:style>
  <w:style w:type="character" w:styleId="CharStyle12" w:customStyle="1">
    <w:name w:val="CharStyle12"/>
    <w:basedOn w:val="DefaultFontStyle"/>
    <w:qFormat/>
    <w:rPr>
      <w:rFonts w:ascii="Microsoft Sans Serif" w:hAnsi="Microsoft Sans Serif" w:eastAsia="Microsoft Sans Serif" w:cs="Microsoft Sans Serif"/>
      <w:b w:val="false"/>
      <w:bCs w:val="false"/>
      <w:i w:val="false"/>
      <w:iCs w:val="false"/>
      <w:strike w:val="false"/>
      <w:dstrike w:val="false"/>
      <w:color w:val="000000"/>
      <w:spacing w:val="0"/>
      <w:w w:val="100"/>
      <w:position w:val="0"/>
      <w:sz w:val="23"/>
      <w:sz w:val="23"/>
      <w:szCs w:val="23"/>
      <w:u w:val="none"/>
      <w:vertAlign w:val="baseline"/>
      <w:lang w:val="ru-RU" w:eastAsia="ru-RU" w:bidi="ru-RU"/>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before="0" w:after="140"/>
    </w:pPr>
    <w:rPr/>
  </w:style>
  <w:style w:type="paragraph" w:styleId="Style18">
    <w:name w:val="List"/>
    <w:basedOn w:val="Style17"/>
    <w:pPr/>
    <w:rPr>
      <w:rFonts w:cs="Mang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Style21">
    <w:name w:val="Title"/>
    <w:basedOn w:val="Normal"/>
    <w:next w:val="Style17"/>
    <w:qFormat/>
    <w:pPr>
      <w:keepNext w:val="true"/>
      <w:spacing w:before="240" w:after="120"/>
    </w:pPr>
    <w:rPr>
      <w:rFonts w:ascii="Liberation Sans" w:hAnsi="Liberation Sans" w:eastAsia="Microsoft YaHei" w:cs="Mang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Indexheading">
    <w:name w:val="index heading"/>
    <w:basedOn w:val="Normal"/>
    <w:qFormat/>
    <w:pPr>
      <w:suppressLineNumbers/>
    </w:pPr>
    <w:rPr>
      <w:rFonts w:cs="Mangal"/>
    </w:rPr>
  </w:style>
  <w:style w:type="paragraph" w:styleId="BalloonText">
    <w:name w:val="Balloon Text"/>
    <w:basedOn w:val="Normal"/>
    <w:semiHidden/>
    <w:unhideWhenUsed/>
    <w:qFormat/>
    <w:rsid w:val="00236378"/>
    <w:pPr>
      <w:spacing w:lineRule="auto" w:line="240" w:before="0" w:after="0"/>
    </w:pPr>
    <w:rPr>
      <w:rFonts w:ascii="Tahoma" w:hAnsi="Tahoma" w:cs="Tahoma"/>
      <w:sz w:val="16"/>
      <w:szCs w:val="16"/>
    </w:rPr>
  </w:style>
  <w:style w:type="paragraph" w:styleId="ListParagraph">
    <w:name w:val="List Paragraph"/>
    <w:basedOn w:val="Normal"/>
    <w:uiPriority w:val="34"/>
    <w:qFormat/>
    <w:rsid w:val="004166e5"/>
    <w:pPr>
      <w:spacing w:before="0" w:after="200"/>
      <w:ind w:left="720" w:hanging="0"/>
      <w:contextualSpacing/>
    </w:pPr>
    <w:rPr/>
  </w:style>
  <w:style w:type="paragraph" w:styleId="ConsPlusTitle" w:customStyle="1">
    <w:name w:val="ConsPlusTitle"/>
    <w:qFormat/>
    <w:rsid w:val="001f41f3"/>
    <w:pPr>
      <w:widowControl w:val="false"/>
      <w:suppressAutoHyphens w:val="true"/>
      <w:bidi w:val="0"/>
      <w:spacing w:before="0" w:after="0"/>
      <w:jc w:val="left"/>
    </w:pPr>
    <w:rPr>
      <w:rFonts w:ascii="Calibri" w:hAnsi="Calibri" w:eastAsia="Times New Roman" w:cs="Calibri" w:asciiTheme="minorHAnsi" w:hAnsiTheme="minorHAnsi"/>
      <w:b/>
      <w:color w:val="auto"/>
      <w:kern w:val="0"/>
      <w:sz w:val="22"/>
      <w:szCs w:val="20"/>
      <w:lang w:val="ru-RU" w:eastAsia="ru-RU" w:bidi="ar-SA"/>
    </w:rPr>
  </w:style>
  <w:style w:type="paragraph" w:styleId="ConsPlusNormal1" w:customStyle="1">
    <w:name w:val="ConsPlusNormal"/>
    <w:qFormat/>
    <w:rsid w:val="0039620a"/>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NormalWeb">
    <w:name w:val="Normal (Web)"/>
    <w:basedOn w:val="Normal"/>
    <w:uiPriority w:val="99"/>
    <w:unhideWhenUsed/>
    <w:qFormat/>
    <w:rsid w:val="004b3fc2"/>
    <w:pPr>
      <w:spacing w:lineRule="auto" w:line="240" w:beforeAutospacing="1" w:after="0"/>
      <w:jc w:val="both"/>
    </w:pPr>
    <w:rPr>
      <w:rFonts w:ascii="Times New Roman" w:hAnsi="Times New Roman" w:eastAsia="Times New Roman" w:cs="Times New Roman"/>
      <w:color w:val="000000"/>
      <w:sz w:val="24"/>
      <w:szCs w:val="24"/>
      <w:lang w:eastAsia="ru-RU"/>
    </w:rPr>
  </w:style>
  <w:style w:type="paragraph" w:styleId="Western" w:customStyle="1">
    <w:name w:val="western"/>
    <w:basedOn w:val="Normal"/>
    <w:qFormat/>
    <w:rsid w:val="006c56f7"/>
    <w:pPr>
      <w:spacing w:lineRule="auto" w:line="240" w:beforeAutospacing="1" w:after="0"/>
      <w:jc w:val="both"/>
    </w:pPr>
    <w:rPr>
      <w:rFonts w:ascii="Liberation Sans" w:hAnsi="Liberation Sans" w:eastAsia="Times New Roman" w:cs="Liberation Sans"/>
      <w:color w:val="000000"/>
      <w:sz w:val="24"/>
      <w:szCs w:val="24"/>
      <w:lang w:eastAsia="ru-RU"/>
    </w:rPr>
  </w:style>
  <w:style w:type="paragraph" w:styleId="Frgutexttitle" w:customStyle="1">
    <w:name w:val="frgu-text-title"/>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Ngbinding" w:customStyle="1">
    <w:name w:val="ng-binding"/>
    <w:basedOn w:val="Normal"/>
    <w:qFormat/>
    <w:rsid w:val="00762a9b"/>
    <w:pPr>
      <w:spacing w:lineRule="auto" w:line="240" w:beforeAutospacing="1" w:afterAutospacing="1"/>
    </w:pPr>
    <w:rPr>
      <w:rFonts w:ascii="Times New Roman" w:hAnsi="Times New Roman" w:eastAsia="Times New Roman" w:cs="Times New Roman"/>
      <w:sz w:val="24"/>
      <w:szCs w:val="24"/>
      <w:lang w:eastAsia="ru-RU"/>
    </w:rPr>
  </w:style>
  <w:style w:type="paragraph" w:styleId="ConsPlusCell" w:customStyle="1">
    <w:name w:val="ConsPlusCell"/>
    <w:qFormat/>
    <w:rsid w:val="006510d7"/>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Application>LibreOffice/7.0.4.2$Windows_X86_64 LibreOffice_project/dcf040e67528d9187c66b2379df5ea4407429775</Application>
  <AppVersion>15.0000</AppVersion>
  <Pages>5</Pages>
  <Words>2184</Words>
  <Characters>15854</Characters>
  <CharactersWithSpaces>17951</CharactersWithSpaces>
  <Paragraphs>92</Paragraphs>
  <Company>КонсультантПлюс Версия 4022.00.09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2024-06-11T04:00:00Z</dcterms:created>
  <dc:creator>Надежда Николаевна Плотникова</dc:creator>
  <dc:description/>
  <dc:language>ru-RU</dc:language>
  <cp:lastModifiedBy/>
  <cp:lastPrinted>2018-08-08T10:10:00Z</cp:lastPrinted>
  <dcterms:modified xsi:type="dcterms:W3CDTF">2026-05-20T15:40:39Z</dcterms:modified>
  <cp:revision>11</cp:revision>
  <dc:subject/>
  <dc:title>Приказ Департамента природных ресурсов и охраны окружающей среды Курганской области от 20.12.2019 N 651(ред. от 14.11.2022)"Об утверждении Административного регламента предоставления Департаментом гражданской защиты, охраны окружающей среды и природных ресурсов Курганской области государственной услуги по выдаче и аннулированию охотничьих билетов"(вместе с "Заявлением о получении охотничьего билета единого федерального образца", "Заявлением о замене охотничьего билета единого федерального образца в связи</dc:title>
</cp:coreProperties>
</file>

<file path=docProps/custom.xml><?xml version="1.0" encoding="utf-8"?>
<Properties xmlns="http://schemas.openxmlformats.org/officeDocument/2006/custom-properties" xmlns:vt="http://schemas.openxmlformats.org/officeDocument/2006/docPropsVTypes"/>
</file>