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50" w:type="dxa"/>
        <w:jc w:val="left"/>
        <w:tblInd w:w="-30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87"/>
        <w:gridCol w:w="13162"/>
      </w:tblGrid>
      <w:tr>
        <w:trPr>
          <w:trHeight w:val="571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sz w:val="22"/>
                <w:szCs w:val="22"/>
                <w:shd w:fill="auto" w:val="clear"/>
              </w:rPr>
              <w:t>Наименование услуги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sz w:val="24"/>
                <w:szCs w:val="24"/>
                <w:shd w:fill="auto" w:val="clear"/>
              </w:rPr>
              <w:t>Присвоение спортивных разрядов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auto" w:val="clear"/>
                <w:lang w:eastAsia="ru-RU"/>
              </w:rPr>
              <w:t>Подуслуги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1) Присвоение спортивного разряда;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b w:val="false"/>
                <w:bCs w:val="false"/>
                <w:sz w:val="22"/>
                <w:szCs w:val="22"/>
                <w:shd w:fill="auto" w:val="clear"/>
              </w:rPr>
              <w:t>2) Подтверждение спортивного разряда.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31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Постановление Администрации города Кургана от 18.03.2025 № 2574 «</w:t>
            </w:r>
            <w:r>
              <w:rPr>
                <w:rFonts w:cs="PT Astra Serif;Times New Roman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Об утверждении Административного регламента предоставления Департаментом социальной политики Администрации города Кургана муниципальной услуги «Присвоение спортивных разрядов»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»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31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Администрацией города Кургана</w:t>
            </w:r>
          </w:p>
        </w:tc>
      </w:tr>
      <w:tr>
        <w:trPr>
          <w:trHeight w:val="571" w:hRule="atLeast"/>
        </w:trPr>
        <w:tc>
          <w:tcPr>
            <w:tcW w:w="288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Ответственный орган</w:t>
            </w:r>
          </w:p>
        </w:tc>
        <w:tc>
          <w:tcPr>
            <w:tcW w:w="131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b w:val="false"/>
                <w:sz w:val="22"/>
                <w:szCs w:val="22"/>
                <w:shd w:fill="auto" w:val="clear"/>
              </w:rPr>
              <w:t>Департамент социальной политики Администрации города Кургана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Заявители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Заявителями на предоставление муниципальной услуги являются региональные и местные спортивные федерации (далее при совместном упоминании - спортивные федерации) по месту их территориальной сферы деятельности, а в случае отсутствия спортивных федераций или приостановления действия государственной аккредитации региональной спортивной федерации - физкультурно-спортивные организации, организации, реализующие дополнительную образовательную программу спортивной подготовки, образовательные организации, к которой принадлежит спортсмен, по месту их нахождения (далее - Заявитель).</w:t>
            </w:r>
          </w:p>
          <w:p>
            <w:pPr>
              <w:pStyle w:val="ConsPlusNormal"/>
              <w:widowControl w:val="false"/>
              <w:overflowPunct w:val="true"/>
              <w:ind w:hanging="0"/>
              <w:jc w:val="both"/>
              <w:textAlignment w:val="auto"/>
              <w:rPr/>
            </w:pPr>
            <w:r>
              <w:rPr>
                <w:rStyle w:val="Ngscope"/>
                <w:rFonts w:cs="PT Astra Serif;Times New Roman" w:ascii="Arial" w:hAnsi="Arial"/>
                <w:sz w:val="22"/>
                <w:szCs w:val="22"/>
                <w:shd w:fill="auto" w:val="clear"/>
              </w:rPr>
              <w:t>При предоставлении муниципальной услуги от имени заявителей вправе обратиться представители заявителей, действующие в силу закона или на основании доверенности, оформленной в установленном законодательством порядке.</w:t>
            </w:r>
          </w:p>
          <w:p>
            <w:pPr>
              <w:pStyle w:val="ConsPlusNormal"/>
              <w:widowControl w:val="false"/>
              <w:overflowPunct w:val="true"/>
              <w:ind w:hanging="0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sPlusNormal"/>
              <w:widowControl w:val="false"/>
              <w:overflowPunct w:val="true"/>
              <w:ind w:hanging="0"/>
              <w:jc w:val="both"/>
              <w:textAlignment w:val="auto"/>
              <w:rPr/>
            </w:pPr>
            <w:hyperlink r:id="rId2">
              <w:r>
                <w:rPr>
                  <w:rFonts w:cs="PT Astra Serif;Times New Roman" w:ascii="Arial" w:hAnsi="Arial"/>
                  <w:sz w:val="22"/>
                  <w:szCs w:val="22"/>
                  <w:shd w:fill="auto" w:val="clear"/>
                </w:rPr>
                <w:t>Федеральный закон от 04.12.2007 N 329-ФЗ (ред. от 24.06.2025) "О физической культуре и спорте в Российской Федерации"</w:t>
              </w:r>
            </w:hyperlink>
            <w:r>
              <w:rPr>
                <w:rStyle w:val="Ngscope"/>
                <w:rFonts w:cs="PT Astra Serif;Times New Roman" w:ascii="Arial" w:hAnsi="Arial"/>
                <w:sz w:val="22"/>
                <w:szCs w:val="22"/>
                <w:shd w:fill="auto" w:val="clear"/>
              </w:rPr>
              <w:t xml:space="preserve"> ст. 13</w:t>
            </w:r>
          </w:p>
          <w:p>
            <w:pPr>
              <w:pStyle w:val="ConsPlusNormal"/>
              <w:widowControl w:val="false"/>
              <w:overflowPunct w:val="true"/>
              <w:ind w:hanging="0"/>
              <w:jc w:val="both"/>
              <w:textAlignment w:val="auto"/>
              <w:rPr>
                <w:rStyle w:val="Ngscope"/>
                <w:rFonts w:ascii="Arial" w:hAnsi="Arial" w:cs="PT Astra Serif;Times New Roman"/>
                <w:sz w:val="22"/>
                <w:szCs w:val="22"/>
                <w:shd w:fill="auto" w:val="clear"/>
              </w:rPr>
            </w:pPr>
            <w:r>
              <w:rPr>
                <w:rStyle w:val="Ngscope"/>
                <w:rFonts w:cs="PT Astra Serif;Times New Roman" w:ascii="Arial" w:hAnsi="Arial"/>
                <w:b/>
                <w:sz w:val="22"/>
                <w:szCs w:val="22"/>
                <w:shd w:fill="auto" w:val="clear"/>
                <w:lang w:val="ru-RU"/>
              </w:rPr>
              <w:t>Региональная спортивная федерация</w:t>
            </w:r>
            <w:r>
              <w:rPr>
                <w:rStyle w:val="Ngscope"/>
                <w:rFonts w:cs="PT Astra Serif;Times New Roman" w:ascii="Arial" w:hAnsi="Arial"/>
                <w:sz w:val="22"/>
                <w:szCs w:val="22"/>
                <w:shd w:fill="auto" w:val="clear"/>
                <w:lang w:val="ru-RU"/>
              </w:rPr>
              <w:t xml:space="preserve"> - общественная организация, которая создана на основе членства и целями которой являются развитие одного или нескольких видов спорта, их пропаганда, организация, а также проведение спортивных мероприятий и подготовка спортсменов - членов спортивных сборных команд.</w:t>
            </w:r>
          </w:p>
          <w:p>
            <w:pPr>
              <w:pStyle w:val="ConsPlusNormal"/>
              <w:widowControl w:val="false"/>
              <w:overflowPunct w:val="true"/>
              <w:ind w:hanging="0"/>
              <w:jc w:val="both"/>
              <w:textAlignment w:val="auto"/>
              <w:rPr/>
            </w:pPr>
            <w:r>
              <w:rPr>
                <w:rStyle w:val="Ngscope"/>
                <w:rFonts w:cs="PT Astra Serif;Times New Roman" w:ascii="Arial" w:hAnsi="Arial"/>
                <w:sz w:val="22"/>
                <w:szCs w:val="22"/>
                <w:shd w:fill="auto" w:val="clear"/>
              </w:rPr>
              <w:t>Могут быть как юр лицом как и общественная организация.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b/>
                <w:bCs/>
                <w:sz w:val="22"/>
                <w:szCs w:val="22"/>
                <w:shd w:fill="auto" w:val="clear"/>
              </w:rPr>
              <w:t>При обращении за присвоением спортивного разряда: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 xml:space="preserve">представление для присвоения спортивного разряда, заверенное печатью (при наличии) и подписью руководителя спортивной федерации (далее - Представление) </w:t>
            </w:r>
            <w:r>
              <w:rPr>
                <w:rFonts w:cs="PT Astra Serif;Times New Roman" w:ascii="Arial" w:hAnsi="Arial"/>
                <w:spacing w:val="2"/>
                <w:sz w:val="22"/>
                <w:szCs w:val="22"/>
                <w:shd w:fill="auto" w:val="clear"/>
              </w:rPr>
              <w:t>(Приложение №1)</w:t>
            </w: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;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две фотографии размером 3 x 4 см;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копия документа, удостоверяющего принадлежность спортсмена к физкультурно-спортивной организации, организации, реализующей дополнительную образовательную программу спортивной подготовки (в случае приостановления действия государственной аккредитации региональной спортивной федерации);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для лиц, не достигших возраста 14 лет, копия свидетельства о рождении;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firstLine="113"/>
              <w:jc w:val="both"/>
              <w:textAlignment w:val="auto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      </w:r>
          </w:p>
          <w:p>
            <w:pPr>
              <w:pStyle w:val="ConsPlusNormal"/>
              <w:widowControl w:val="false"/>
              <w:overflowPunct w:val="true"/>
              <w:ind w:firstLine="539"/>
              <w:jc w:val="both"/>
              <w:textAlignment w:val="auto"/>
              <w:rPr>
                <w:rFonts w:cs="PT Astra Serif;Times New Roman"/>
              </w:rPr>
            </w:pPr>
            <w:r>
              <w:rPr>
                <w:rFonts w:cs="PT Astra Serif;Times New Roman"/>
              </w:rPr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b/>
                <w:bCs/>
                <w:sz w:val="22"/>
                <w:szCs w:val="22"/>
                <w:shd w:fill="auto" w:val="clear"/>
              </w:rPr>
              <w:t>При обращении за подтверждением спортивного разряда: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3" w:leader="none"/>
              </w:tabs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 xml:space="preserve">ходатайство о подтверждении спортивного разряда, заверенное печатью (при наличии) и подписью руководителя или уполномоченного должностного лица заявителя, содержащее фамилию, имя, отчество (при наличии), дату рождения спортсмена, а также сведения о наименовании соревнования, месте и дате его проведения, о выполнении норм, требований и условий их выполнения для подтверждения спортивного разряда, а также фамилию, имя, отчество (при наличии) председателя судейской коллегии (главного судьи)  (далее - Ходатайство) </w:t>
            </w:r>
            <w:r>
              <w:rPr>
                <w:rFonts w:cs="PT Astra Serif;Times New Roman" w:ascii="Arial" w:hAnsi="Arial"/>
                <w:spacing w:val="2"/>
                <w:sz w:val="22"/>
                <w:szCs w:val="22"/>
                <w:shd w:fill="auto" w:val="clear"/>
              </w:rPr>
              <w:t>(Приложение №2)</w:t>
            </w: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;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3" w:leader="none"/>
              </w:tabs>
              <w:jc w:val="both"/>
              <w:rPr>
                <w:rFonts w:ascii="Arial" w:hAnsi="Arial" w:cs="PT Astra Serif;Times New Roman"/>
                <w:sz w:val="22"/>
                <w:szCs w:val="22"/>
                <w:shd w:fill="auto" w:val="clear"/>
              </w:rPr>
            </w:pPr>
            <w:bookmarkStart w:id="0" w:name="P157"/>
            <w:bookmarkEnd w:id="0"/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      </w:r>
          </w:p>
          <w:p>
            <w:pPr>
              <w:pStyle w:val="ConsPlus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3" w:leader="none"/>
              </w:tabs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выполнения.</w:t>
            </w:r>
          </w:p>
          <w:p>
            <w:pPr>
              <w:pStyle w:val="ConsPlusNormal"/>
              <w:widowControl w:val="false"/>
              <w:overflowPunct w:val="true"/>
              <w:ind w:firstLine="709"/>
              <w:jc w:val="both"/>
              <w:textAlignment w:val="auto"/>
              <w:rPr>
                <w:rFonts w:cs="PT Astra Serif;Times New Roman"/>
              </w:rPr>
            </w:pPr>
            <w:r>
              <w:rPr>
                <w:rFonts w:cs="PT Astra Serif;Times New Roman"/>
              </w:rPr>
            </w:r>
          </w:p>
          <w:p>
            <w:pPr>
              <w:pStyle w:val="ConsPlusNormal"/>
              <w:widowControl w:val="false"/>
              <w:overflowPunct w:val="true"/>
              <w:ind w:firstLine="709"/>
              <w:jc w:val="both"/>
              <w:textAlignment w:val="auto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</w:t>
            </w:r>
            <w:r>
              <w:rPr>
                <w:rFonts w:cs="PT Astra Serif;Times New Roman" w:ascii="Arial" w:hAnsi="Arial"/>
                <w:b w:val="false"/>
                <w:bCs w:val="false"/>
                <w:spacing w:val="2"/>
                <w:sz w:val="22"/>
                <w:szCs w:val="22"/>
                <w:shd w:fill="auto" w:val="clear"/>
              </w:rPr>
              <w:t xml:space="preserve"> (Приложение №3).</w:t>
            </w:r>
          </w:p>
        </w:tc>
      </w:tr>
      <w:tr>
        <w:trPr>
          <w:trHeight w:val="885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Ngscope"/>
                <w:rFonts w:cs="Arial" w:ascii="Arial" w:hAnsi="Arial"/>
                <w:sz w:val="22"/>
                <w:szCs w:val="22"/>
                <w:shd w:fill="auto" w:val="clear"/>
              </w:rPr>
              <w:t>Отсутствуют.</w:t>
            </w:r>
          </w:p>
        </w:tc>
      </w:tr>
      <w:tr>
        <w:trPr>
          <w:trHeight w:val="828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>Результат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tabs>
                <w:tab w:val="clear" w:pos="708"/>
                <w:tab w:val="left" w:pos="28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 xml:space="preserve">Результат получают в </w:t>
            </w: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МФЦ не поступает. Результат является постановление размещенное на официальном сайте Администрации</w:t>
            </w:r>
          </w:p>
          <w:p>
            <w:pPr>
              <w:pStyle w:val="ConsPlusNormal"/>
              <w:widowControl w:val="false"/>
              <w:tabs>
                <w:tab w:val="clear" w:pos="708"/>
                <w:tab w:val="left" w:pos="28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1) присвоение спортивного разряда;</w:t>
            </w:r>
          </w:p>
          <w:p>
            <w:pPr>
              <w:pStyle w:val="ConsPlusNormal"/>
              <w:widowControl w:val="false"/>
              <w:tabs>
                <w:tab w:val="clear" w:pos="708"/>
                <w:tab w:val="left" w:pos="28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2) отказ в присвоении спортивного разряда;</w:t>
            </w:r>
          </w:p>
          <w:p>
            <w:pPr>
              <w:pStyle w:val="ConsPlusNormal"/>
              <w:widowControl w:val="false"/>
              <w:tabs>
                <w:tab w:val="clear" w:pos="708"/>
                <w:tab w:val="left" w:pos="28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3) подтверждение спортивного разряда;</w:t>
            </w:r>
          </w:p>
          <w:p>
            <w:pPr>
              <w:pStyle w:val="ConsPlusNormal"/>
              <w:widowControl w:val="false"/>
              <w:tabs>
                <w:tab w:val="clear" w:pos="708"/>
                <w:tab w:val="left" w:pos="28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4) отказ в подтверждении спортивного разряда.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Срок предоставления услуги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Formattext"/>
              <w:widowControl w:val="false"/>
              <w:shd w:val="clear" w:fill="FFFFFF"/>
              <w:overflowPunct w:val="true"/>
              <w:spacing w:lineRule="auto" w:line="240" w:before="0" w:after="0"/>
              <w:ind w:hanging="0"/>
              <w:jc w:val="both"/>
              <w:textAlignment w:val="baseline"/>
              <w:rPr>
                <w:rFonts w:ascii="Arial" w:hAnsi="Arial" w:cs="PT Astra Serif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Предоставления государственной услуги: 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30 дней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 со дня поступления заявления и необходимых документов в Департамент.</w:t>
            </w:r>
          </w:p>
          <w:p>
            <w:pPr>
              <w:pStyle w:val="ConsPlusNormal"/>
              <w:widowControl w:val="false"/>
              <w:shd w:val="clear" w:fill="FFFFFF"/>
              <w:overflowPunct w:val="true"/>
              <w:spacing w:lineRule="auto" w:line="240" w:before="0" w:after="0"/>
              <w:ind w:hanging="0"/>
              <w:jc w:val="both"/>
              <w:textAlignment w:val="baseline"/>
              <w:rPr>
                <w:rFonts w:cs="PT Astra Serif;Times New Roman"/>
              </w:rPr>
            </w:pPr>
            <w:r>
              <w:rPr>
                <w:rFonts w:cs="PT Astra Serif;Times New Roman"/>
              </w:rPr>
            </w:r>
          </w:p>
          <w:p>
            <w:pPr>
              <w:pStyle w:val="ConsPlusNormal"/>
              <w:widowControl w:val="false"/>
              <w:shd w:val="clear" w:fill="FFFFFF"/>
              <w:overflowPunct w:val="true"/>
              <w:spacing w:lineRule="auto" w:line="240" w:before="0" w:after="0"/>
              <w:ind w:hanging="0"/>
              <w:jc w:val="both"/>
              <w:textAlignment w:val="baseline"/>
              <w:rPr>
                <w:rFonts w:ascii="Arial" w:hAnsi="Arial" w:cs="PT Astra Serif"/>
                <w:sz w:val="22"/>
                <w:szCs w:val="22"/>
                <w:shd w:fill="auto" w:val="clear"/>
              </w:rPr>
            </w:pPr>
            <w:r>
              <w:rPr>
                <w:rFonts w:cs="PT Astra Serif;Times New Roman" w:ascii="Arial" w:hAnsi="Arial"/>
                <w:sz w:val="22"/>
                <w:szCs w:val="22"/>
                <w:shd w:fill="auto" w:val="clear"/>
              </w:rPr>
              <w:t>При обращении заявителя через МФЦ срок регистрации заявления в Департаменте исчисляется со дня передачи заявления от МФЦ.</w:t>
            </w:r>
          </w:p>
        </w:tc>
      </w:tr>
      <w:tr>
        <w:trPr/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Отсутствуют.</w:t>
            </w:r>
          </w:p>
        </w:tc>
      </w:tr>
      <w:tr>
        <w:trPr>
          <w:trHeight w:val="411" w:hRule="atLeast"/>
        </w:trPr>
        <w:tc>
          <w:tcPr>
            <w:tcW w:w="288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31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Услуга предоставляется бесплатно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181"/>
        </w:tabs>
        <w:ind w:left="1181" w:hanging="360"/>
      </w:pPr>
    </w:lvl>
    <w:lvl w:ilvl="2">
      <w:start w:val="1"/>
      <w:numFmt w:val="decimal"/>
      <w:lvlText w:val="%3."/>
      <w:lvlJc w:val="left"/>
      <w:pPr>
        <w:tabs>
          <w:tab w:val="num" w:pos="1541"/>
        </w:tabs>
        <w:ind w:left="1541" w:hanging="360"/>
      </w:pPr>
    </w:lvl>
    <w:lvl w:ilvl="3">
      <w:start w:val="1"/>
      <w:numFmt w:val="decimal"/>
      <w:lvlText w:val="%4."/>
      <w:lvlJc w:val="left"/>
      <w:pPr>
        <w:tabs>
          <w:tab w:val="num" w:pos="1901"/>
        </w:tabs>
        <w:ind w:left="1901" w:hanging="360"/>
      </w:pPr>
    </w:lvl>
    <w:lvl w:ilvl="4">
      <w:start w:val="1"/>
      <w:numFmt w:val="decimal"/>
      <w:lvlText w:val="%5."/>
      <w:lvlJc w:val="left"/>
      <w:pPr>
        <w:tabs>
          <w:tab w:val="num" w:pos="2261"/>
        </w:tabs>
        <w:ind w:left="2261" w:hanging="360"/>
      </w:pPr>
    </w:lvl>
    <w:lvl w:ilvl="5">
      <w:start w:val="1"/>
      <w:numFmt w:val="decimal"/>
      <w:lvlText w:val="%6."/>
      <w:lvlJc w:val="left"/>
      <w:pPr>
        <w:tabs>
          <w:tab w:val="num" w:pos="2621"/>
        </w:tabs>
        <w:ind w:left="2621" w:hanging="360"/>
      </w:pPr>
    </w:lvl>
    <w:lvl w:ilvl="6">
      <w:start w:val="1"/>
      <w:numFmt w:val="decimal"/>
      <w:lvlText w:val="%7."/>
      <w:lvlJc w:val="left"/>
      <w:pPr>
        <w:tabs>
          <w:tab w:val="num" w:pos="2981"/>
        </w:tabs>
        <w:ind w:left="2981" w:hanging="360"/>
      </w:pPr>
    </w:lvl>
    <w:lvl w:ilvl="7">
      <w:start w:val="1"/>
      <w:numFmt w:val="decimal"/>
      <w:lvlText w:val="%8."/>
      <w:lvlJc w:val="left"/>
      <w:pPr>
        <w:tabs>
          <w:tab w:val="num" w:pos="3341"/>
        </w:tabs>
        <w:ind w:left="3341" w:hanging="360"/>
      </w:pPr>
    </w:lvl>
    <w:lvl w:ilvl="8">
      <w:start w:val="1"/>
      <w:numFmt w:val="decimal"/>
      <w:lvlText w:val="%9."/>
      <w:lvlJc w:val="left"/>
      <w:pPr>
        <w:tabs>
          <w:tab w:val="num" w:pos="3701"/>
        </w:tabs>
        <w:ind w:left="3701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Ngscope" w:customStyle="1">
    <w:name w:val="ng-scope"/>
    <w:basedOn w:val="DefaultParagraphFont"/>
    <w:qFormat/>
    <w:rsid w:val="00801a14"/>
    <w:rPr/>
  </w:style>
  <w:style w:type="character" w:styleId="Style16">
    <w:name w:val="Посещённая гиперссылка"/>
    <w:rPr>
      <w:color w:val="800080"/>
      <w:u w:val="single"/>
    </w:rPr>
  </w:style>
  <w:style w:type="character" w:styleId="Style17">
    <w:name w:val="Выделение жирным"/>
    <w:qFormat/>
    <w:rPr>
      <w:b/>
      <w:bCs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Style19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Formattext">
    <w:name w:val="formattext"/>
    <w:basedOn w:val="Normal"/>
    <w:qFormat/>
    <w:pPr>
      <w:overflowPunct w:val="true"/>
      <w:spacing w:before="280" w:after="280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73038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LibreOffice/7.0.4.2$Windows_X86_64 LibreOffice_project/dcf040e67528d9187c66b2379df5ea4407429775</Application>
  <AppVersion>15.0000</AppVersion>
  <Pages>3</Pages>
  <Words>704</Words>
  <Characters>5331</Characters>
  <CharactersWithSpaces>5985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2019-04-08T05:32:00Z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2025-10-21T15:48:45Z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