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30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87"/>
        <w:gridCol w:w="13162"/>
      </w:tblGrid>
      <w:tr>
        <w:trPr>
          <w:trHeight w:val="57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/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Постановление Администрации города Кургана от 18.06.2025 № 6194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</w:rPr>
              <w:t>«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</w:rPr>
              <w:t>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«Утверждение схемы расположения земельного участка или земельных участков на кадастровом плане территории»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Услуга предоставляется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Ответственный орган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Отдел архитектуры и градостроительства Управления архитектуры и градостроительства Департамента архитектуры, строительства и земельных отношений Администрации города Кургана.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Заявители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Ngscope"/>
                <w:rFonts w:cs="PT Astra Serif" w:ascii="Arial" w:hAnsi="Arial"/>
                <w:color w:val="000000"/>
                <w:sz w:val="24"/>
                <w:szCs w:val="24"/>
              </w:rPr>
              <w:t xml:space="preserve">Физические лица, индивидуальные предприниматели, юридические лица, заинтересованным в образовании путем раздела земельного участка,  предоставленного им на праве постоянного (бессрочного) пользования, аренды или безвозмездного пользования, заинтересованные в образовании земельного участка путем объединения земельных участков, предоставленных им на праве постоянного (бессрочного) пользования, аренды, пожизненно наследуемого владения или безвозмездного пользования, заинтересованные в утверждении </w:t>
            </w:r>
            <w:r>
              <w:rPr>
                <w:rStyle w:val="Ngscope"/>
                <w:rFonts w:cs="PT Astra Serif" w:ascii="Arial" w:hAnsi="Arial"/>
                <w:sz w:val="24"/>
                <w:szCs w:val="24"/>
              </w:rPr>
              <w:t xml:space="preserve">схемы расположения земельного участка в целях исправления реестровой ошибки, </w:t>
            </w:r>
            <w:r>
              <w:rPr>
                <w:rStyle w:val="Ngscope"/>
                <w:rFonts w:cs="PT Astra Serif" w:ascii="Arial" w:hAnsi="Arial"/>
                <w:color w:val="000000"/>
                <w:sz w:val="24"/>
                <w:szCs w:val="24"/>
              </w:rPr>
              <w:t>лица, заинтересованные в образовании земельного участка, на котором расположены многоквартирный дом и иные входящие в состав такого дома объекты недвижимого имущества  из земель, находящихся в государственной или муниципальной собственности, а также лица, заинтересованные в предоставлении земельного участка путем проведения аукциона по продаже земельного участка, на право заключения договора аренды (далее - заявители).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Ngscope"/>
                <w:rFonts w:ascii="Arial" w:hAnsi="Arial"/>
                <w:sz w:val="24"/>
                <w:szCs w:val="24"/>
              </w:rPr>
      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представители заявителей).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1) заявление </w:t>
            </w:r>
            <w:r>
              <w:rPr>
                <w:rFonts w:cs="PT Astra Serif" w:ascii="Arial" w:hAnsi="Arial"/>
                <w:color w:val="000000"/>
                <w:sz w:val="24"/>
                <w:szCs w:val="24"/>
              </w:rPr>
              <w:t>об утверждении схемы расположения земельного участка</w:t>
            </w:r>
            <w:r>
              <w:rPr>
                <w:rFonts w:cs="PT Astra Serif" w:ascii="Arial" w:hAnsi="Arial"/>
                <w:sz w:val="24"/>
                <w:szCs w:val="24"/>
              </w:rPr>
              <w:t xml:space="preserve"> на кадастровом плане территории</w:t>
            </w:r>
            <w:r>
              <w:rPr>
                <w:rFonts w:cs="Times New Roman" w:ascii="Arial" w:hAnsi="Arial"/>
                <w:sz w:val="24"/>
                <w:szCs w:val="24"/>
              </w:rPr>
              <w:t>, по форме согласно приложению к настоящему Административному регламенту;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2) схема расположения земельного участка или земельных участков на кадастровом плане территории (далее по тексту – схема расположения земельного участка);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3) согласие землепользователей, землевладельцев, арендаторов на образование земельных участков, в случае если исходный земельный участок предоставлен третьим лицам, требуется предоставить согласие землепользователей, землевладельцев, арендаторов на образование земельных участков; согласие залогодержателей исходных земельных участков, в случае если права собственности на такой земельный участок обременены залогом, требуется предоставить согласие залогодержателей исходных земельных участков;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4) документ, подтверждающий полномочия представителя заявителя в случае, если заявление подано представителем заявителя;</w:t>
            </w:r>
          </w:p>
          <w:p>
            <w:pPr>
              <w:pStyle w:val="Normal"/>
              <w:widowControl w:val="false"/>
              <w:overflowPunct w:val="false"/>
              <w:ind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color w:val="000000"/>
                <w:sz w:val="24"/>
                <w:szCs w:val="24"/>
              </w:rPr>
              <w:t>5) правоустанавливающие и (или) правоудостоверяющие документы на исходный земельный участок (земельные участки), если права на них не зарегистрированы в Едином государственном реестре недвижимости.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firstLine="708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  Федерального закона от 27.07.2010 № 210-ФЗ</w:t>
            </w:r>
            <w:r>
              <w:rPr>
                <w:rFonts w:cs="PT Astra Serif" w:ascii="Arial" w:hAnsi="Arial"/>
                <w:sz w:val="24"/>
                <w:szCs w:val="24"/>
              </w:rPr>
              <w:t xml:space="preserve"> «Об организации предоставления государственных и муниципальных услуг»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,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>
          <w:trHeight w:val="885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Необязательные документы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1) копии правоустанавливающих или правоудостоверяющих документов на земельный участок, принадлежащий заявителю, в случае если право собственности зарегистрировано в Едином государственном реестре прав на недвижимое имущество и сделок с ним;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hanging="0"/>
              <w:jc w:val="both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2) выписка из Единого государственного реестра юридических лиц (для юридических лиц);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hanging="0"/>
              <w:jc w:val="both"/>
              <w:textAlignment w:val="auto"/>
              <w:rPr/>
            </w:pPr>
            <w:r>
              <w:rPr>
                <w:rStyle w:val="Ngscope"/>
                <w:rFonts w:cs="Times New Roman" w:ascii="Arial" w:hAnsi="Arial"/>
                <w:sz w:val="24"/>
                <w:szCs w:val="24"/>
              </w:rPr>
              <w:t>3)  выписка из Единого государственного реестра недвижимости на  земельный участок или земельные участки, раздел или объединение которых планируется осуществить.</w:t>
            </w:r>
          </w:p>
        </w:tc>
      </w:tr>
      <w:tr>
        <w:trPr>
          <w:trHeight w:val="828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Результат получают в МФЦ!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 xml:space="preserve">1) постановление Администрации города Кургана </w:t>
            </w:r>
            <w:r>
              <w:rPr>
                <w:rFonts w:cs="PT Astra Serif" w:ascii="Arial" w:hAnsi="Arial"/>
                <w:color w:val="000000"/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color w:val="000000"/>
                <w:sz w:val="24"/>
                <w:szCs w:val="24"/>
              </w:rPr>
              <w:t>2) Решение об отказе в утверждении схемы расположения земельного участка или земельных участков на кадастровом плане территории.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- не более 60 дней со дня поступления заявления об утверждении схемы расположения земельного участка, на котором расположен многоквартирный дом</w:t>
            </w:r>
            <w:r>
              <w:rPr>
                <w:rFonts w:cs="PT Astra Serif" w:ascii="Arial" w:hAnsi="Arial"/>
                <w:color w:val="000000"/>
                <w:sz w:val="24"/>
                <w:szCs w:val="24"/>
                <w:shd w:fill="FFFFFF" w:val="clear"/>
              </w:rPr>
              <w:t xml:space="preserve"> и иные входящие в состав такого дома объекты недвижимого имущества, поскольку такая схема расположения земельного участка, на котором расположен многоквартирный дом, до ее утверждения подлежит рассмотрению на общественных обсуждениях или публичных слушаниях в </w:t>
            </w:r>
            <w:r>
              <w:rPr>
                <w:rFonts w:cs="PT Astra Serif" w:ascii="Arial" w:hAnsi="Arial"/>
                <w:sz w:val="24"/>
                <w:szCs w:val="24"/>
                <w:shd w:fill="FFFFFF" w:val="clear"/>
              </w:rPr>
              <w:t>порядке</w:t>
            </w:r>
            <w:r>
              <w:rPr>
                <w:rFonts w:cs="PT Astra Serif" w:ascii="Arial" w:hAnsi="Arial"/>
                <w:color w:val="000000"/>
                <w:sz w:val="24"/>
                <w:szCs w:val="24"/>
                <w:shd w:fill="FFFFFF" w:val="clear"/>
              </w:rPr>
              <w:t>, предусмотренном законодательством о градостроительной деятельности для утверждения проекта межевания территории;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- не более 60 дней со дня поступления заявления об утверждении схемы расположения земельного участка </w:t>
            </w:r>
            <w:r>
              <w:rPr>
                <w:rFonts w:cs="PT Astra Serif" w:ascii="Arial" w:hAnsi="Arial"/>
                <w:sz w:val="24"/>
                <w:szCs w:val="24"/>
              </w:rPr>
              <w:t>или земельных участков на кадастровом плане территории – в случае образования земельного участка для его продажи или предоставления в аренду путем проведения аукциона;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>- не более 30 дней со дня поступления заявления об утверждении схемы расположения земельного участка или земельных участков на кадастровом плане территории – в иных случаях.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Основания для отказа в приеме заявления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Отсутствуют.</w:t>
            </w:r>
          </w:p>
        </w:tc>
      </w:tr>
      <w:tr>
        <w:trPr>
          <w:trHeight w:val="41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Стоимость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Ngscope" w:customStyle="1">
    <w:name w:val="ng-scope"/>
    <w:basedOn w:val="DefaultParagraphFont"/>
    <w:qFormat/>
    <w:rsid w:val="00801a14"/>
    <w:rPr/>
  </w:style>
  <w:style w:type="character" w:styleId="Style16">
    <w:name w:val="Посещённая гиперссылка"/>
    <w:rPr>
      <w:color w:val="800080"/>
      <w:u w:val="single"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Formattext">
    <w:name w:val="formattext"/>
    <w:basedOn w:val="Normal"/>
    <w:qFormat/>
    <w:pPr>
      <w:overflowPunct w:val="true"/>
      <w:spacing w:before="280" w:after="28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LibreOffice/7.0.4.2$Windows_X86_64 LibreOffice_project/dcf040e67528d9187c66b2379df5ea4407429775</Application>
  <AppVersion>15.0000</AppVersion>
  <Pages>3</Pages>
  <Words>717</Words>
  <Characters>5472</Characters>
  <CharactersWithSpaces>6162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2019-04-08T05:32:00Z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2025-07-04T09:32:06Z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