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30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87"/>
        <w:gridCol w:w="13162"/>
      </w:tblGrid>
      <w:tr>
        <w:trPr>
          <w:trHeight w:val="57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0" w:hanging="0"/>
              <w:jc w:val="both"/>
              <w:textAlignment w:val="auto"/>
              <w:rPr>
                <w:rFonts w:ascii="Arial" w:hAnsi="Arial" w:cs="PT Astra Serif"/>
                <w:b/>
                <w:b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/>
                <w:bCs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Постановление Администрации города Кургана от 15.01.2025 № 90 «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«Выдача </w:t>
            </w: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</w:rPr>
              <w:t>с привлечением средств материнского (семейного) капитала»»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Департамент архитектуры, строительства и земельных отношений </w:t>
            </w:r>
            <w:r>
              <w:rPr>
                <w:rFonts w:ascii="Arial" w:hAnsi="Arial"/>
                <w:b w:val="false"/>
                <w:sz w:val="20"/>
                <w:szCs w:val="20"/>
              </w:rPr>
              <w:t>Администрации города Кургана</w:t>
            </w:r>
          </w:p>
        </w:tc>
      </w:tr>
      <w:tr>
        <w:trPr>
          <w:trHeight w:val="706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1"/>
                <w:szCs w:val="21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PT Astra Serif" w:ascii="Arial" w:hAnsi="Arial"/>
                <w:sz w:val="22"/>
                <w:szCs w:val="22"/>
              </w:rPr>
              <w:t>О</w:t>
            </w:r>
            <w:r>
              <w:rPr>
                <w:rStyle w:val="Ngscope"/>
                <w:rFonts w:cs="PT Astra Serif" w:ascii="Arial" w:hAnsi="Arial"/>
                <w:sz w:val="22"/>
                <w:szCs w:val="22"/>
              </w:rPr>
              <w:t xml:space="preserve">тдел организации строительства и связи Управления земельных ресурсов и строительства Департамента архитектуры, строительства и земельных отношений Администрации города Кургана по адресу: 640026, г. Курган, ул. Пушкина, д. 83/1, кабинет N 14.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PT Astra Serif" w:ascii="Arial" w:hAnsi="Arial"/>
                <w:sz w:val="22"/>
                <w:szCs w:val="22"/>
              </w:rPr>
              <w:t xml:space="preserve">Часы работы: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PT Astra Serif" w:ascii="Arial" w:hAnsi="Arial"/>
                <w:sz w:val="22"/>
                <w:szCs w:val="22"/>
              </w:rPr>
              <w:t>- понедельник-пятница с 8-30 до 17-30;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PT Astra Serif" w:ascii="Arial" w:hAnsi="Arial"/>
                <w:sz w:val="22"/>
                <w:szCs w:val="22"/>
              </w:rPr>
              <w:t>- обеденный перерыв с 12-00 до 13-00;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PT Astra Serif" w:ascii="Arial" w:hAnsi="Arial"/>
                <w:sz w:val="22"/>
                <w:szCs w:val="22"/>
              </w:rPr>
              <w:t xml:space="preserve">- суббота-воскресенье выходной.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PT Astra Serif" w:ascii="Arial" w:hAnsi="Arial"/>
                <w:sz w:val="22"/>
                <w:szCs w:val="22"/>
              </w:rPr>
              <w:t xml:space="preserve">42-86-80, доб. 639, 640; 42-86-82, доб. 641. 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Ngscope"/>
                <w:rFonts w:ascii="Arial" w:hAnsi="Arial"/>
                <w:sz w:val="22"/>
                <w:szCs w:val="22"/>
              </w:rPr>
              <w:t>Физические лица, получившие государственный сертификат на материнский (семейный) капитал (далее - заявитель), либо их уполномоченные представители.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1) заявление по форме, согласно приложению к настоящему Административному регламенту, содержащее следующие сведения: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сведения об объекте капитального строительства  (наименование,  почтовый  или  строительный  адрес объекта капитального строительства);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сведения о застройщике (фамилия, имя, отчество, паспортные данные, регистрация, место проживания, телефон/факс);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сведения о выданном разрешении на строительство (номер, дата выдачи разрешения, наименование органа местного самоуправления, выдавшего разрешение);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сведения о лице, осуществляющим строительство (наименование, номер и дата выдачи свидетельства о государственной регистрации, ОГРН, ИНН, почтовые реквизиты, телефон/факс - для юридических лиц; фамилия, имя, отчество, паспортные данные, место проживания, телефон/факс - для физических лиц, номер и дата договора);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сведения об увеличении площади (в случае реконструкции), дате начала и окончания работ;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2) документ, подтверждающий полномочия представителя заявителя, в случае, если заявление подано представителем заявителя;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3) копии правоустанавливающих документов, если право не зарегистрировано в Едином государственном реестре недвижимости;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4)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5) копия паспорта;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6) копия договора подряда (при выполнении строительных работ подрядной организацией).</w:t>
            </w:r>
          </w:p>
        </w:tc>
      </w:tr>
      <w:tr>
        <w:trPr>
          <w:trHeight w:val="885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Style w:val="Ngscope"/>
                <w:rFonts w:ascii="Arial" w:hAnsi="Arial"/>
                <w:sz w:val="20"/>
                <w:szCs w:val="20"/>
              </w:rPr>
              <w:t>-</w:t>
            </w:r>
          </w:p>
        </w:tc>
      </w:tr>
      <w:tr>
        <w:trPr>
          <w:trHeight w:val="828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Выдача результата производиться в МФЦ.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1) выдача (направление) заявителю акта освидетельствования проведения основных работ по строительству (реконструкции) объекта индивидуального жилищного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2) отказ в предоставлении муниципальной услуги.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Срок предоставления муниципальной услуги не более 10 рабочих дней со дня поступления заявления.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Отсутствуют.</w:t>
            </w:r>
          </w:p>
        </w:tc>
      </w:tr>
      <w:tr>
        <w:trPr>
          <w:trHeight w:val="41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Ngscope" w:customStyle="1">
    <w:name w:val="ng-scope"/>
    <w:basedOn w:val="DefaultParagraphFont"/>
    <w:qFormat/>
    <w:rsid w:val="00801a1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LibreOffice/7.0.4.2$Windows_X86_64 LibreOffice_project/dcf040e67528d9187c66b2379df5ea4407429775</Application>
  <AppVersion>15.0000</AppVersion>
  <Pages>2</Pages>
  <Words>411</Words>
  <Characters>3221</Characters>
  <CharactersWithSpaces>3599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2019-04-08T05:32:00Z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2025-07-03T15:47:20Z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