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shd w:fill="FFFFFF" w:val="clear"/>
                <w:em w:val="none"/>
                <w:lang w:val="ru-RU" w:bidi="ar-SA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муниципального округа Курганской области от 25 июля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271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Администрацией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1) выписка из Единого государственного реестра юридических лиц (для юридических лиц), в случае обращения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2) выписка из Единого государственного реестра индивидуальных предпринимателей, в случае обращения индивидуального предпринимателя;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3) выписка из Единого государственного реестра недвижимости на земельный участок для определения правообладателя;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4) выписка из Единого государственного реестра недвижимости на объект капитального строительства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решение о предоставлении разрешения отклонение от предельны параметров разрешенного строительства, реконструкции объекта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об отказе в предоставлении муниципальной услуги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47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рабочих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представление неполного комплекта документов, указанных в пунктах 15,16 Административного регламента, заявителем;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подлежащих обязательному представлению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подача заявления (запроса) от имени заявителя не уполномоченным на то лицом;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6) неполное, некорректное заполнение полей в форме заявления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Application>LibreOffice/7.0.0.3$Windows_X86_64 LibreOffice_project/8061b3e9204bef6b321a21033174034a5e2ea88e</Application>
  <Pages>2</Pages>
  <Words>350</Words>
  <Characters>2880</Characters>
  <CharactersWithSpaces>3200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2025-09-16T11:25:08Z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