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96" w:type="dxa"/>
        <w:jc w:val="left"/>
        <w:tblInd w:w="193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546"/>
        <w:gridCol w:w="11850"/>
      </w:tblGrid>
      <w:tr>
        <w:trPr/>
        <w:tc>
          <w:tcPr>
            <w:tcW w:w="3546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 (Направление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участке)»</w:t>
            </w:r>
          </w:p>
        </w:tc>
      </w:tr>
      <w:tr>
        <w:trPr/>
        <w:tc>
          <w:tcPr>
            <w:tcW w:w="3546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/>
                <w:sz w:val="20"/>
                <w:szCs w:val="20"/>
                <w:lang w:eastAsia="ru-RU"/>
              </w:rPr>
              <w:t>Административный регламент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Постановление </w:t>
            </w:r>
            <w:r>
              <w:rPr>
                <w:rFonts w:cs="Arial" w:ascii="Arial" w:hAnsi="Arial"/>
                <w:sz w:val="20"/>
                <w:szCs w:val="20"/>
              </w:rPr>
              <w:t>Администрации Альменевского муниципального округа Курганской области от 13 июля 2022 года № 251 «Об утверждении Административного регламента предоставления Администрацией Альменевского муниципального округа Курганской области муниципальной услуги «Направление уведомлений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      </w:r>
          </w:p>
        </w:tc>
      </w:tr>
      <w:tr>
        <w:trPr/>
        <w:tc>
          <w:tcPr>
            <w:tcW w:w="3546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/>
                <w:sz w:val="20"/>
                <w:szCs w:val="20"/>
                <w:lang w:eastAsia="ru-RU"/>
              </w:rPr>
              <w:t xml:space="preserve">Услуга </w:t>
            </w:r>
            <w:r>
              <w:rPr>
                <w:rFonts w:eastAsia="Times New Roman" w:cs="Arial" w:ascii="Arial" w:hAnsi="Arial"/>
                <w:b/>
                <w:color w:val="auto"/>
                <w:kern w:val="0"/>
                <w:sz w:val="20"/>
                <w:szCs w:val="20"/>
                <w:lang w:val="ru-RU" w:eastAsia="ru-RU" w:bidi="ar-SA"/>
              </w:rPr>
              <w:t>п</w:t>
            </w:r>
            <w:r>
              <w:rPr>
                <w:rFonts w:eastAsia="Times New Roman" w:cs="Arial" w:ascii="Arial" w:hAnsi="Arial"/>
                <w:b/>
                <w:color w:val="auto"/>
                <w:sz w:val="20"/>
                <w:szCs w:val="20"/>
                <w:lang w:eastAsia="ru-RU"/>
              </w:rPr>
              <w:t>редоставляется</w:t>
            </w:r>
          </w:p>
        </w:tc>
        <w:tc>
          <w:tcPr>
            <w:tcW w:w="1185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Администрацией </w:t>
            </w:r>
            <w:r>
              <w:rPr>
                <w:rFonts w:eastAsia="Calibri" w:cs="Arial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>Альменевского муниципального округа Курганской области</w:t>
            </w:r>
          </w:p>
        </w:tc>
      </w:tr>
      <w:tr>
        <w:trPr>
          <w:trHeight w:val="470" w:hRule="atLeast"/>
        </w:trPr>
        <w:tc>
          <w:tcPr>
            <w:tcW w:w="3546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Категории получателей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cs="PT Astra Serif" w:ascii="Arial" w:hAnsi="Arial"/>
                <w:b/>
                <w:bCs/>
                <w:sz w:val="20"/>
                <w:szCs w:val="20"/>
                <w:lang w:eastAsia="ar-SA"/>
              </w:rPr>
              <w:t>Застройщики</w:t>
            </w:r>
            <w:r>
              <w:rPr>
                <w:rFonts w:cs="PT Astra Serif" w:ascii="Arial" w:hAnsi="Arial"/>
                <w:sz w:val="20"/>
                <w:szCs w:val="20"/>
                <w:lang w:eastAsia="ar-SA"/>
              </w:rPr>
              <w:t xml:space="preserve"> –</w:t>
            </w:r>
            <w:r>
              <w:rPr>
                <w:rFonts w:cs="PT Astra Serif" w:ascii="Arial" w:hAnsi="Arial"/>
                <w:sz w:val="20"/>
                <w:szCs w:val="20"/>
                <w:u w:val="none"/>
                <w:lang w:eastAsia="ar-SA"/>
              </w:rPr>
              <w:t xml:space="preserve"> физические или юридические лица.</w:t>
            </w:r>
          </w:p>
        </w:tc>
      </w:tr>
      <w:tr>
        <w:trPr>
          <w:trHeight w:val="2580" w:hRule="atLeast"/>
        </w:trPr>
        <w:tc>
          <w:tcPr>
            <w:tcW w:w="3546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Обязательные документы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1) уведомление о планируемом строительстве </w:t>
            </w:r>
            <w:r>
              <w:rPr>
                <w:rFonts w:ascii="Arial" w:hAnsi="Arial"/>
                <w:sz w:val="20"/>
                <w:szCs w:val="20"/>
              </w:rPr>
              <w:t>либо</w:t>
            </w:r>
            <w:r>
              <w:rPr>
                <w:rFonts w:ascii="Arial" w:hAnsi="Arial"/>
                <w:sz w:val="20"/>
                <w:szCs w:val="20"/>
              </w:rPr>
              <w:t xml:space="preserve"> уведомление об изменении параметров;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2) правоустанавливающие документы на земельный участок в случае, если права на него не зарегистрированы в Едином государственном реестре недвижимости;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3) документ, подтверждающий полномочия представителя заявителя, в случае, если уведомление направлено представителем заявителя;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Arial" w:hAnsi="Arial"/>
                <w:sz w:val="20"/>
                <w:szCs w:val="20"/>
              </w:rPr>
              <w:t>5) описание внешнего облика объекта индивидуального жилищного строительства или садового дома 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значения.</w:t>
            </w:r>
          </w:p>
        </w:tc>
      </w:tr>
      <w:tr>
        <w:trPr>
          <w:trHeight w:val="823" w:hRule="atLeast"/>
        </w:trPr>
        <w:tc>
          <w:tcPr>
            <w:tcW w:w="3546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Необязательные документы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Arial" w:hAnsi="Arial" w:eastAsia="Calibri" w:cs="PT Astra Serif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PT Astra Serif" w:eastAsiaTheme="minorHAnsi" w:ascii="Arial" w:hAnsi="Arial"/>
                <w:color w:val="00000A"/>
                <w:kern w:val="0"/>
                <w:sz w:val="20"/>
                <w:szCs w:val="20"/>
                <w:lang w:val="ru-RU" w:eastAsia="en-US" w:bidi="ar-SA"/>
              </w:rPr>
              <w:t>Выписка из ЕГРЮЛ/ЕГРИП</w:t>
            </w:r>
          </w:p>
        </w:tc>
      </w:tr>
      <w:tr>
        <w:trPr>
          <w:trHeight w:val="1421" w:hRule="atLeast"/>
        </w:trPr>
        <w:tc>
          <w:tcPr>
            <w:tcW w:w="3546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Результат оказания услуги</w:t>
            </w:r>
          </w:p>
        </w:tc>
        <w:tc>
          <w:tcPr>
            <w:tcW w:w="1185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1)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2) уведомление о несоответствии</w:t>
            </w:r>
          </w:p>
        </w:tc>
      </w:tr>
      <w:tr>
        <w:trPr>
          <w:trHeight w:val="457" w:hRule="atLeast"/>
        </w:trPr>
        <w:tc>
          <w:tcPr>
            <w:tcW w:w="3546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Срок оказания услуги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Cs w:val="20"/>
              </w:rPr>
            </w:pPr>
            <w:r>
              <w:rPr>
                <w:rFonts w:cs="PT Astra Serif" w:ascii="Arial" w:hAnsi="Arial"/>
                <w:sz w:val="20"/>
                <w:szCs w:val="20"/>
              </w:rPr>
              <w:t>7 рабочих дней</w:t>
            </w:r>
          </w:p>
        </w:tc>
      </w:tr>
      <w:tr>
        <w:trPr>
          <w:trHeight w:val="527" w:hRule="atLeast"/>
        </w:trPr>
        <w:tc>
          <w:tcPr>
            <w:tcW w:w="3546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Основания для оказания услуги, основания для отказа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Отсутствуют</w:t>
            </w:r>
          </w:p>
        </w:tc>
      </w:tr>
      <w:tr>
        <w:trPr/>
        <w:tc>
          <w:tcPr>
            <w:tcW w:w="3546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Стоимость и порядок оплаты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Муниципальная услуга предоставляется бесплатно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567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51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>
    <w:name w:val="Основной шрифт абзаца"/>
    <w:qFormat/>
    <w:rPr/>
  </w:style>
  <w:style w:type="character" w:styleId="Style16">
    <w:name w:val="Интернет-ссылка"/>
    <w:basedOn w:val="Style15"/>
    <w:rPr>
      <w:color w:val="0000FF"/>
      <w:u w:val="single"/>
    </w:rPr>
  </w:style>
  <w:style w:type="character" w:styleId="Style17">
    <w:name w:val="Посещённая гиперссылка"/>
    <w:basedOn w:val="Style15"/>
    <w:rPr>
      <w:color w:val="800080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88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00000A"/>
      <w:kern w:val="0"/>
      <w:sz w:val="22"/>
      <w:szCs w:val="20"/>
      <w:lang w:val="ru-RU" w:eastAsia="ru-RU" w:bidi="ar-SA"/>
    </w:rPr>
  </w:style>
  <w:style w:type="paragraph" w:styleId="Style23">
    <w:name w:val="Содержимое таблицы"/>
    <w:basedOn w:val="Normal"/>
    <w:qFormat/>
    <w:pPr/>
    <w:rPr/>
  </w:style>
  <w:style w:type="paragraph" w:styleId="Style24">
    <w:name w:val="Заголовок таблицы"/>
    <w:basedOn w:val="Style23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Application>LibreOffice/7.0.0.3$Windows_X86_64 LibreOffice_project/8061b3e9204bef6b321a21033174034a5e2ea88e</Application>
  <Pages>2</Pages>
  <Words>366</Words>
  <Characters>2984</Characters>
  <CharactersWithSpaces>3326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>Игорь Валентинович Прутовых</cp:lastModifiedBy>
  <cp:lastPrinted>2018-08-08T10:10:00Z</cp:lastPrinted>
  <dcterms:modified xsi:type="dcterms:W3CDTF">2024-09-11T16:53:14Z</dcterms:modified>
  <cp:revision>49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