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96" w:type="dxa"/>
        <w:jc w:val="left"/>
        <w:tblInd w:w="19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545"/>
        <w:gridCol w:w="11850"/>
      </w:tblGrid>
      <w:tr>
        <w:trPr/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«Выдача разрешения на установку и эксплуатацию рекламных конструкций на соответствующей территории, аннулирование такого разрешения»</w:t>
            </w:r>
          </w:p>
        </w:tc>
      </w:tr>
      <w:tr>
        <w:trPr/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Постановление </w:t>
            </w:r>
            <w:r>
              <w:rPr>
                <w:rFonts w:cs="Arial" w:ascii="Arial" w:hAnsi="Arial"/>
                <w:sz w:val="20"/>
                <w:szCs w:val="20"/>
              </w:rPr>
              <w:t xml:space="preserve">Администрации Альменевского муниципального округа Курганской области от </w:t>
            </w:r>
            <w:r>
              <w:rPr>
                <w:rFonts w:cs="Arial" w:ascii="Arial" w:hAnsi="Arial"/>
                <w:sz w:val="20"/>
                <w:szCs w:val="20"/>
              </w:rPr>
              <w:t>2 декабря</w:t>
            </w:r>
            <w:r>
              <w:rPr>
                <w:rFonts w:cs="Arial" w:ascii="Arial" w:hAnsi="Arial"/>
                <w:sz w:val="20"/>
                <w:szCs w:val="20"/>
              </w:rPr>
              <w:t xml:space="preserve"> 2022 года № 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380</w:t>
            </w:r>
            <w:r>
              <w:rPr>
                <w:rFonts w:cs="Arial" w:ascii="Arial" w:hAnsi="Arial"/>
                <w:sz w:val="20"/>
                <w:szCs w:val="20"/>
              </w:rPr>
              <w:t xml:space="preserve"> «Об утверждении Административного регламента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 на территории Альменевского муниципального округа Курганской области»</w:t>
            </w:r>
          </w:p>
        </w:tc>
      </w:tr>
      <w:tr>
        <w:trPr/>
        <w:tc>
          <w:tcPr>
            <w:tcW w:w="354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 xml:space="preserve">Услуга </w:t>
            </w:r>
            <w:r>
              <w:rPr>
                <w:rFonts w:eastAsia="Times New Roman" w:cs="Arial" w:ascii="Arial" w:hAnsi="Arial"/>
                <w:b/>
                <w:color w:val="auto"/>
                <w:kern w:val="0"/>
                <w:sz w:val="20"/>
                <w:szCs w:val="20"/>
                <w:lang w:val="ru-RU" w:eastAsia="ru-RU" w:bidi="ar-SA"/>
              </w:rPr>
              <w:t>п</w:t>
            </w: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редоставляется</w:t>
            </w:r>
          </w:p>
        </w:tc>
        <w:tc>
          <w:tcPr>
            <w:tcW w:w="1185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отдел</w:t>
            </w:r>
            <w:r>
              <w:rPr>
                <w:rFonts w:cs="Arial" w:ascii="Arial" w:hAnsi="Arial"/>
                <w:sz w:val="20"/>
                <w:szCs w:val="20"/>
              </w:rPr>
              <w:t>ом</w:t>
            </w:r>
            <w:r>
              <w:rPr>
                <w:rFonts w:cs="Arial" w:ascii="Arial" w:hAnsi="Arial"/>
                <w:sz w:val="20"/>
                <w:szCs w:val="20"/>
              </w:rPr>
              <w:t xml:space="preserve"> ЖКХ, архитектуры и строительства Администраци</w:t>
            </w:r>
            <w:r>
              <w:rPr>
                <w:rFonts w:cs="Arial" w:ascii="Arial" w:hAnsi="Arial"/>
                <w:sz w:val="20"/>
                <w:szCs w:val="20"/>
              </w:rPr>
              <w:t>и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Альменевского муниципального округа Курганской области</w:t>
            </w:r>
          </w:p>
        </w:tc>
      </w:tr>
      <w:tr>
        <w:trPr>
          <w:trHeight w:val="470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Категории получателей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  <w:u w:val="none"/>
                <w:lang w:eastAsia="ar-SA"/>
              </w:rPr>
              <w:t>физические лица, индивидуальные предприниматели, юридические лица: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  <w:u w:val="none"/>
                <w:lang w:eastAsia="ar-SA"/>
              </w:rPr>
              <w:t>1) собственник земельного участка, здания или иного недвижимого имущества, к которому присоединяется рекламная конструкция.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  <w:u w:val="none"/>
                <w:lang w:eastAsia="ar-SA"/>
              </w:rPr>
              <w:t>2) 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  <w:u w:val="none"/>
                <w:lang w:eastAsia="ar-SA"/>
              </w:rPr>
              <w:t>3) лицо, уполномоченное общим собранием собственников помещений в многоквартирном доме, к которому присоединяется рекламная конструкция.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  <w:u w:val="none"/>
                <w:lang w:eastAsia="ar-SA"/>
              </w:rPr>
              <w:t>4) 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  <w:u w:val="none"/>
                <w:lang w:eastAsia="ar-SA"/>
              </w:rPr>
              <w:t>5) доверительный управляющий недвижимого имущества, к которому присоединяется рекламная конструкция.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  <w:u w:val="none"/>
                <w:lang w:eastAsia="ar-SA"/>
              </w:rPr>
              <w:t xml:space="preserve">6) </w:t>
            </w: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u w:val="none"/>
                <w:lang w:val="ru-RU" w:eastAsia="ar-SA" w:bidi="ar-SA"/>
              </w:rPr>
              <w:t>в</w:t>
            </w:r>
            <w:r>
              <w:rPr>
                <w:rFonts w:cs="PT Astra Serif" w:ascii="Arial" w:hAnsi="Arial"/>
                <w:sz w:val="20"/>
                <w:szCs w:val="20"/>
                <w:u w:val="none"/>
                <w:lang w:eastAsia="ar-SA"/>
              </w:rPr>
              <w:t>ладелец рекламной конструкции.</w:t>
            </w:r>
          </w:p>
        </w:tc>
      </w:tr>
      <w:tr>
        <w:trPr>
          <w:trHeight w:val="526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Заявление;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>) проектную документацию рекламной конструкции;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) эскиз рекламной конструкции;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>
              <w:rPr>
                <w:rFonts w:ascii="Arial" w:hAnsi="Arial"/>
                <w:sz w:val="20"/>
                <w:szCs w:val="20"/>
              </w:rPr>
              <w:t xml:space="preserve">) нотариально удостоверенное согласие собственника недвижимого имущества на присоединение к этому имуществу </w:t>
            </w:r>
            <w:r>
              <w:rPr>
                <w:rFonts w:ascii="Arial" w:hAnsi="Arial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екламной конструкции (в случае если имущество передано уполномоченному лицу);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  <w:r>
              <w:rPr>
                <w:rFonts w:ascii="Arial" w:hAnsi="Arial"/>
                <w:sz w:val="20"/>
                <w:szCs w:val="20"/>
              </w:rPr>
              <w:t>) нотариально удостоверенное согласие собственника(-ов) недвижимого имущества на присоединение к этому имуществу рекламной конструкции (в случае если заявитель не является единоличным собственником имущества);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  <w:r>
              <w:rPr>
                <w:rFonts w:ascii="Arial" w:hAnsi="Arial"/>
                <w:sz w:val="20"/>
                <w:szCs w:val="20"/>
              </w:rPr>
              <w:t>) нотариально удостоверенный протокол общего собрания собственников помещений в многоквартирном доме (в случае, когда рекламная конструкция присоединяется к общему имуществу);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  <w:r>
              <w:rPr>
                <w:rFonts w:ascii="Arial" w:hAnsi="Arial"/>
                <w:sz w:val="20"/>
                <w:szCs w:val="20"/>
              </w:rPr>
              <w:t>) договор на установку и эксплуатацию рекламной конструкции, за исключением случаев: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а) когда заявитель является собственником рекламной конструкции и единоличным собственником имущества, к которому присоединяется рекламная конструкция;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б) когда заключен договор по итогам проведения торгов в случае присоединения рекламной конструкции к имуществу, находящемуся в муниципальной собственности.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6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В случае обращения заявителя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за аннулированием разрешения</w:t>
            </w:r>
            <w:r>
              <w:rPr>
                <w:rFonts w:ascii="Arial" w:hAnsi="Arial"/>
                <w:sz w:val="20"/>
                <w:szCs w:val="20"/>
              </w:rPr>
              <w:t xml:space="preserve"> на установку и эксплуатацию рекламной конструкции: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6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уведомление об отказе от дальнейшего использования разрешения;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6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2) 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конструкции. </w:t>
            </w:r>
          </w:p>
        </w:tc>
      </w:tr>
      <w:tr>
        <w:trPr>
          <w:trHeight w:val="823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Необязательные документы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1) выписка из Единого государственного реестра юридических лиц (для юридических лиц), в случае обращения юридического лица;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2) выписка из Единого государственного реестра индивидуальных предпринимателей, в случае обращения индивидуального предпринимателя;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3) выписка из Единого государственного реестра недвижимости подтверждения права собственности на земельный участок, здание или иное недвижимое имущество, к которому присоединяется рекламная конструкция;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4) выписка из Единого государственного реестра недвижимости на объект капитального строительства;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 xml:space="preserve">5) </w:t>
            </w: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с</w:t>
            </w: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ведения об оплате государственной пошлины либо сведения из Государственной информационной системы муниципальных платежах (ГИС ГМП), подтверждающие факт уплаты государственной пошлины.</w:t>
            </w:r>
          </w:p>
        </w:tc>
      </w:tr>
      <w:tr>
        <w:trPr>
          <w:trHeight w:val="688" w:hRule="atLeast"/>
        </w:trPr>
        <w:tc>
          <w:tcPr>
            <w:tcW w:w="354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Результат оказания услуги</w:t>
            </w:r>
          </w:p>
        </w:tc>
        <w:tc>
          <w:tcPr>
            <w:tcW w:w="1185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разрешение на установку и эксплуатацию рекламной конструкции, в случае обращения за получением разрешения на установку и эксплуатацию рекламной конструкции.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решение о предоставлении муниципальной услуги, в случае обращения за аннулированием разрешения на установку и эксплуатацию рекламной конструкции.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3) решение об отказе в предоставлении муниципальной услуги, в случае наличия оснований для отказа в предоставлении муниципальной услуги. </w:t>
            </w:r>
          </w:p>
        </w:tc>
      </w:tr>
      <w:tr>
        <w:trPr>
          <w:trHeight w:val="457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Срок оказания услуги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 xml:space="preserve">Срок </w:t>
            </w:r>
            <w:r>
              <w:rPr>
                <w:rFonts w:cs="PT Astra Serif" w:ascii="Arial" w:hAnsi="Arial"/>
                <w:b/>
                <w:bCs/>
                <w:sz w:val="20"/>
                <w:szCs w:val="20"/>
              </w:rPr>
              <w:t>выдачи разрешения</w:t>
            </w:r>
            <w:r>
              <w:rPr>
                <w:rFonts w:cs="PT Astra Serif" w:ascii="Arial" w:hAnsi="Arial"/>
                <w:sz w:val="20"/>
                <w:szCs w:val="20"/>
              </w:rPr>
              <w:t xml:space="preserve"> на установку и эксплуатацию рекламной конструкции не может превышать </w:t>
            </w:r>
            <w:r>
              <w:rPr>
                <w:rFonts w:cs="PT Astra Serif" w:ascii="Arial" w:hAnsi="Arial"/>
                <w:b/>
                <w:bCs/>
                <w:sz w:val="20"/>
                <w:szCs w:val="20"/>
              </w:rPr>
              <w:t>12 рабочих дней</w:t>
            </w:r>
            <w:r>
              <w:rPr>
                <w:rFonts w:cs="PT Astra Serif" w:ascii="Arial" w:hAnsi="Arial"/>
                <w:sz w:val="20"/>
                <w:szCs w:val="20"/>
              </w:rPr>
              <w:t xml:space="preserve">. Срок </w:t>
            </w:r>
            <w:r>
              <w:rPr>
                <w:rFonts w:cs="PT Astra Serif" w:ascii="Arial" w:hAnsi="Arial"/>
                <w:b/>
                <w:bCs/>
                <w:sz w:val="20"/>
                <w:szCs w:val="20"/>
              </w:rPr>
              <w:t>выдачи решения об аннулировании разрешения</w:t>
            </w:r>
            <w:r>
              <w:rPr>
                <w:rFonts w:cs="PT Astra Serif" w:ascii="Arial" w:hAnsi="Arial"/>
                <w:sz w:val="20"/>
                <w:szCs w:val="20"/>
              </w:rPr>
              <w:t xml:space="preserve"> на установку и эксплуатацию рекламной конструкции не может превышать </w:t>
            </w:r>
            <w:r>
              <w:rPr>
                <w:rFonts w:cs="PT Astra Serif" w:ascii="Arial" w:hAnsi="Arial"/>
                <w:b/>
                <w:bCs/>
                <w:sz w:val="20"/>
                <w:szCs w:val="20"/>
              </w:rPr>
              <w:t>7 рабочих дней</w:t>
            </w:r>
            <w:r>
              <w:rPr>
                <w:rFonts w:cs="PT Astra Serif" w:ascii="Arial" w:hAnsi="Arial"/>
                <w:sz w:val="20"/>
                <w:szCs w:val="20"/>
              </w:rPr>
              <w:t xml:space="preserve">. </w:t>
            </w:r>
          </w:p>
        </w:tc>
      </w:tr>
      <w:tr>
        <w:trPr>
          <w:trHeight w:val="527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Основания для оказания услуги, основания для отказа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4) некорректное заполнение обязательных полей в форме запроса о предоставлении услуги (недостоверное, неправильное либо неполное);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6) представление неполного комплекта документов, необходимых для предоставления услуги;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</w:tr>
      <w:tr>
        <w:trPr/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Стоимость и порядок оплаты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 выдачу разрешения на установку и эксплуатацию рекламной конструкции взимается государственная пошлина в порядке и размере, которые установлены статьей 333.18 и пунктом 105 статьи 333.33 Налогового кодекса Российской Федерации.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Размер государственной пошлины составляет 5 000 рублей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567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1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>
    <w:name w:val="Основной шрифт абзаца"/>
    <w:qFormat/>
    <w:rPr/>
  </w:style>
  <w:style w:type="character" w:styleId="Style16">
    <w:name w:val="Интернет-ссылка"/>
    <w:basedOn w:val="Style15"/>
    <w:rPr>
      <w:color w:val="0000FF"/>
      <w:u w:val="single"/>
    </w:rPr>
  </w:style>
  <w:style w:type="character" w:styleId="Style17">
    <w:name w:val="Посещённая гиперссылка"/>
    <w:basedOn w:val="Style15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Application>LibreOffice/7.0.0.3$Windows_X86_64 LibreOffice_project/8061b3e9204bef6b321a21033174034a5e2ea88e</Application>
  <Pages>2</Pages>
  <Words>667</Words>
  <Characters>5161</Characters>
  <CharactersWithSpaces>5785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>Игорь Валентинович Прутовых</cp:lastModifiedBy>
  <cp:lastPrinted>2018-08-08T10:10:00Z</cp:lastPrinted>
  <dcterms:modified xsi:type="dcterms:W3CDTF">2025-07-23T09:31:58Z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