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96" w:type="dxa"/>
        <w:jc w:val="left"/>
        <w:tblInd w:w="19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545"/>
        <w:gridCol w:w="11850"/>
      </w:tblGrid>
      <w:tr>
        <w:trPr/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«Постановка на учет и направление детей в образовательные учреждения, реализующие образовательные программы дошкольного образования»</w:t>
            </w:r>
          </w:p>
        </w:tc>
      </w:tr>
      <w:tr>
        <w:trPr/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Постановление </w:t>
            </w:r>
            <w:r>
              <w:rPr>
                <w:rFonts w:cs="Arial" w:ascii="Arial" w:hAnsi="Arial"/>
                <w:sz w:val="20"/>
                <w:szCs w:val="20"/>
              </w:rPr>
              <w:t xml:space="preserve">Администрации Альменевского муниципального округа Курганской области от 16 августа 2022 года № </w:t>
            </w:r>
            <w:r>
              <w:rPr>
                <w:rFonts w:eastAsia="Calibri" w:cs="Arial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283</w:t>
            </w:r>
            <w:r>
              <w:rPr>
                <w:rFonts w:cs="Arial" w:ascii="Arial" w:hAnsi="Arial"/>
                <w:sz w:val="20"/>
                <w:szCs w:val="20"/>
              </w:rPr>
              <w:t xml:space="preserve"> «Об утверждении административного регламента предоставления  муниципальной услуги «Постановка на учет и направление детей в муниципальные образовательные учреждения, реализующие образовательные программы дошкольного образования»</w:t>
            </w:r>
          </w:p>
        </w:tc>
      </w:tr>
      <w:tr>
        <w:trPr/>
        <w:tc>
          <w:tcPr>
            <w:tcW w:w="3545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 xml:space="preserve">Услуга </w:t>
            </w:r>
            <w:r>
              <w:rPr>
                <w:rFonts w:eastAsia="Times New Roman" w:cs="Arial" w:ascii="Arial" w:hAnsi="Arial"/>
                <w:b/>
                <w:color w:val="auto"/>
                <w:kern w:val="0"/>
                <w:sz w:val="20"/>
                <w:szCs w:val="20"/>
                <w:lang w:val="ru-RU" w:eastAsia="ru-RU" w:bidi="ar-SA"/>
              </w:rPr>
              <w:t>п</w:t>
            </w: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>редоставляется</w:t>
            </w:r>
          </w:p>
        </w:tc>
        <w:tc>
          <w:tcPr>
            <w:tcW w:w="1185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Отдел образования Администрации </w:t>
            </w:r>
            <w:r>
              <w:rPr>
                <w:rFonts w:eastAsia="Calibri" w:cs="Arial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Альменевского муниципального округа Курганской области</w:t>
            </w:r>
          </w:p>
        </w:tc>
      </w:tr>
      <w:tr>
        <w:trPr>
          <w:trHeight w:val="470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Категории получателей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физические лица - родитель (законный представитель) ребенка</w:t>
            </w:r>
          </w:p>
        </w:tc>
      </w:tr>
      <w:tr>
        <w:trPr>
          <w:trHeight w:val="526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1) </w:t>
            </w:r>
            <w:r>
              <w:rPr>
                <w:rFonts w:ascii="Arial" w:hAnsi="Arial"/>
                <w:sz w:val="20"/>
                <w:szCs w:val="20"/>
              </w:rPr>
              <w:t>Документ, удостоверяющий личность заявителя;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2) </w:t>
            </w:r>
            <w:r>
              <w:rPr>
                <w:rFonts w:ascii="Arial" w:hAnsi="Arial"/>
                <w:sz w:val="20"/>
                <w:szCs w:val="20"/>
              </w:rPr>
              <w:t>документ, подтверждающий право заявителя на пребывание в Российской Федерации;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  <w:r>
              <w:rPr>
                <w:rFonts w:ascii="Arial" w:hAnsi="Arial"/>
                <w:sz w:val="20"/>
                <w:szCs w:val="20"/>
              </w:rPr>
              <w:t xml:space="preserve">) документ, удостоверяющий личность ребенка и подтверждающий законность представления прав ребенка (для заявителя - иностранного гражданина либо лица без гражданства);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4) документ, подтверждающий установление опеки (при необходимости);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5) документ психолого-медико-педагогической комиссии (при необходимости);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6) документ, подтверждающий потребность в обучении в группе оздоровительной направленности (при необходимости);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7) документ, подтверждающий наличие права на специальные меры поддержки (гарантии) отдельных категорий граждан и их семей (при необходимости).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8) документ, содержащий сведения о месте пребывания, месте фактического проживания ребенка (при отсутствии свидетельства о регистрации ребенка по месту жительства или по месту пребывания на закрепленной территории).</w:t>
            </w:r>
          </w:p>
        </w:tc>
      </w:tr>
      <w:tr>
        <w:trPr>
          <w:trHeight w:val="823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Необязательные документы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PT Astra Serif"/>
                <w:color w:val="00000A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PT Astra Serif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 xml:space="preserve">1) </w:t>
            </w:r>
            <w:r>
              <w:rPr>
                <w:rFonts w:eastAsia="Calibri" w:cs="PT Astra Serif" w:ascii="Arial" w:hAnsi="Arial"/>
                <w:color w:val="00000A"/>
                <w:kern w:val="0"/>
                <w:sz w:val="20"/>
                <w:szCs w:val="20"/>
                <w:lang w:val="ru-RU" w:eastAsia="en-US" w:bidi="ar-SA"/>
              </w:rPr>
              <w:t>свидетельство о рождении ребенка, выданное на территории Российской Федерации;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PT Astra Serif"/>
                <w:color w:val="00000A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PT Astra Serif" w:ascii="Arial" w:hAnsi="Arial"/>
                <w:color w:val="00000A"/>
                <w:kern w:val="0"/>
                <w:sz w:val="20"/>
                <w:szCs w:val="20"/>
                <w:lang w:val="ru-RU" w:eastAsia="en-US" w:bidi="ar-SA"/>
              </w:rPr>
              <w:t>2) свидетельство о регистрации ребенка по месту жительства или по месту пребывания на закрепленной территории или документы, содержащие сведения о месте пребывания, месте фактического проживания ребенка</w:t>
            </w:r>
          </w:p>
        </w:tc>
      </w:tr>
      <w:tr>
        <w:trPr>
          <w:trHeight w:val="688" w:hRule="atLeast"/>
        </w:trPr>
        <w:tc>
          <w:tcPr>
            <w:tcW w:w="3545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Результат оказания услуги</w:t>
            </w:r>
          </w:p>
        </w:tc>
        <w:tc>
          <w:tcPr>
            <w:tcW w:w="1185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постановка на учет нуждающихся в предоставлении места в муниципальном образовательном учреждении (промежуточный результат);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направление в муниципальное образовательное учреждение (основной результат);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3) Решение об отказе в предоставлении муниципальной услуги.</w:t>
            </w:r>
          </w:p>
        </w:tc>
      </w:tr>
      <w:tr>
        <w:trPr>
          <w:trHeight w:val="457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Срок оказания услуги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Cs w:val="20"/>
              </w:rPr>
            </w:pPr>
            <w:r>
              <w:rPr>
                <w:rFonts w:eastAsia="Calibri" w:cs="PT Astra Serif" w:ascii="Arial" w:hAnsi="Arial" w:eastAsiaTheme="minorHAnsi"/>
                <w:b/>
                <w:bCs/>
                <w:color w:val="00000A"/>
                <w:kern w:val="0"/>
                <w:sz w:val="20"/>
                <w:szCs w:val="20"/>
                <w:lang w:val="ru-RU" w:eastAsia="en-US" w:bidi="ar-SA"/>
              </w:rPr>
              <w:t>7 рабочих</w:t>
            </w:r>
            <w:r>
              <w:rPr>
                <w:rFonts w:cs="PT Astra Serif" w:ascii="Arial" w:hAnsi="Arial"/>
                <w:b/>
                <w:bCs/>
                <w:sz w:val="20"/>
                <w:szCs w:val="20"/>
              </w:rPr>
              <w:t xml:space="preserve"> дней</w:t>
            </w:r>
            <w:r>
              <w:rPr>
                <w:rFonts w:cs="PT Astra Serif" w:ascii="Arial" w:hAnsi="Arial"/>
                <w:sz w:val="20"/>
                <w:szCs w:val="20"/>
              </w:rPr>
              <w:t>.</w:t>
            </w:r>
          </w:p>
        </w:tc>
      </w:tr>
      <w:tr>
        <w:trPr>
          <w:trHeight w:val="527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Основания для оказания услуги, основания для отказа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предоставление неполной информации (комплект документов от заявителя);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представленные заявителем документы содержат повреждения, подчистки, исправления текста, не заверенные в порядке, установленном законодательством Российской Федерации.</w:t>
            </w:r>
          </w:p>
        </w:tc>
      </w:tr>
      <w:tr>
        <w:trPr>
          <w:trHeight w:val="479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Стоимость и порядок оплаты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 w:val="false"/>
                <w:b w:val="false"/>
                <w:bCs w:val="false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Муниципальная услуга предоставляется без взимания государственной пошлины или иной платы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567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1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>
    <w:name w:val="Основной шрифт абзаца"/>
    <w:qFormat/>
    <w:rPr/>
  </w:style>
  <w:style w:type="character" w:styleId="Style16">
    <w:name w:val="Интернет-ссылка"/>
    <w:basedOn w:val="Style15"/>
    <w:rPr>
      <w:color w:val="0000FF"/>
      <w:u w:val="single"/>
    </w:rPr>
  </w:style>
  <w:style w:type="character" w:styleId="Style17">
    <w:name w:val="Посещённая гиперссылка"/>
    <w:basedOn w:val="Style15"/>
    <w:rPr>
      <w:color w:val="800080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0"/>
      <w:lang w:val="ru-RU" w:eastAsia="ru-RU" w:bidi="ar-SA"/>
    </w:rPr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2263</TotalTime>
  <Application>LibreOffice/7.0.0.3$Windows_X86_64 LibreOffice_project/8061b3e9204bef6b321a21033174034a5e2ea88e</Application>
  <Pages>1</Pages>
  <Words>303</Words>
  <Characters>2398</Characters>
  <CharactersWithSpaces>2672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>Игорь Валентинович Прутовых</cp:lastModifiedBy>
  <cp:lastPrinted>2018-08-08T10:10:00Z</cp:lastPrinted>
  <dcterms:modified xsi:type="dcterms:W3CDTF">2025-08-12T10:56:56Z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