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96" w:type="dxa"/>
        <w:jc w:val="left"/>
        <w:tblInd w:w="19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545"/>
        <w:gridCol w:w="11850"/>
      </w:tblGrid>
      <w:tr>
        <w:trPr/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      </w:r>
          </w:p>
        </w:tc>
      </w:tr>
      <w:tr>
        <w:trPr/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Постановление </w:t>
            </w:r>
            <w:r>
              <w:rPr>
                <w:rFonts w:cs="Arial" w:ascii="Arial" w:hAnsi="Arial"/>
                <w:sz w:val="20"/>
                <w:szCs w:val="20"/>
              </w:rPr>
              <w:t>Администрации Альменевского муниципального округа Курганской области от 2</w:t>
            </w:r>
            <w:r>
              <w:rPr>
                <w:rFonts w:cs="Arial" w:ascii="Arial" w:hAnsi="Arial"/>
                <w:sz w:val="20"/>
                <w:szCs w:val="20"/>
              </w:rPr>
              <w:t>3 сентября</w:t>
            </w:r>
            <w:r>
              <w:rPr>
                <w:rFonts w:cs="Arial" w:ascii="Arial" w:hAnsi="Arial"/>
                <w:sz w:val="20"/>
                <w:szCs w:val="20"/>
              </w:rPr>
              <w:t xml:space="preserve"> 2022 года № 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3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14</w:t>
            </w:r>
            <w:r>
              <w:rPr>
                <w:rFonts w:cs="Arial" w:ascii="Arial" w:hAnsi="Arial"/>
                <w:sz w:val="20"/>
                <w:szCs w:val="20"/>
              </w:rPr>
              <w:t xml:space="preserve"> «Об утверждении  административного регламента предоставления Администрацией Альменевского муниципального округа Курганской области муниципальной услуги 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другую»</w:t>
            </w:r>
          </w:p>
        </w:tc>
      </w:tr>
      <w:tr>
        <w:trPr/>
        <w:tc>
          <w:tcPr>
            <w:tcW w:w="354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 xml:space="preserve">Услуга </w:t>
            </w:r>
            <w:r>
              <w:rPr>
                <w:rFonts w:eastAsia="Times New Roman" w:cs="Arial" w:ascii="Arial" w:hAnsi="Arial"/>
                <w:b/>
                <w:color w:val="auto"/>
                <w:kern w:val="0"/>
                <w:sz w:val="20"/>
                <w:szCs w:val="20"/>
                <w:lang w:val="ru-RU" w:eastAsia="ru-RU" w:bidi="ar-SA"/>
              </w:rPr>
              <w:t>п</w:t>
            </w: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редоставляется</w:t>
            </w:r>
          </w:p>
        </w:tc>
        <w:tc>
          <w:tcPr>
            <w:tcW w:w="1185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Администраци</w:t>
            </w:r>
            <w:r>
              <w:rPr>
                <w:rFonts w:cs="Arial" w:ascii="Arial" w:hAnsi="Arial"/>
                <w:sz w:val="20"/>
                <w:szCs w:val="20"/>
              </w:rPr>
              <w:t>я</w:t>
            </w:r>
            <w:r>
              <w:rPr>
                <w:rFonts w:cs="Arial" w:ascii="Arial" w:hAnsi="Arial"/>
                <w:sz w:val="20"/>
                <w:szCs w:val="20"/>
              </w:rPr>
              <w:t xml:space="preserve"> 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Альменевского муниципального округа Курганской области</w:t>
            </w:r>
          </w:p>
        </w:tc>
      </w:tr>
      <w:tr>
        <w:trPr>
          <w:trHeight w:val="470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Категории получателей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  <w:u w:val="none"/>
                <w:lang w:eastAsia="ar-SA"/>
              </w:rPr>
              <w:t>физические лица, юридические лица</w:t>
            </w:r>
          </w:p>
        </w:tc>
      </w:tr>
      <w:tr>
        <w:trPr>
          <w:trHeight w:val="526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737"/>
              <w:jc w:val="both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О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бращени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е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об отнесении земельного участка к определенной категории земель: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1) </w:t>
            </w:r>
            <w:r>
              <w:rPr>
                <w:rFonts w:ascii="Arial" w:hAnsi="Arial"/>
                <w:sz w:val="20"/>
                <w:szCs w:val="20"/>
              </w:rPr>
              <w:t>з</w:t>
            </w:r>
            <w:r>
              <w:rPr>
                <w:rFonts w:ascii="Arial" w:hAnsi="Arial"/>
                <w:sz w:val="20"/>
                <w:szCs w:val="20"/>
              </w:rPr>
              <w:t>аявление;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>
              <w:rPr>
                <w:rFonts w:ascii="Arial" w:hAnsi="Arial"/>
                <w:sz w:val="20"/>
                <w:szCs w:val="20"/>
              </w:rPr>
              <w:t xml:space="preserve">) </w:t>
            </w:r>
            <w:r>
              <w:rPr>
                <w:rFonts w:ascii="Arial" w:hAnsi="Arial"/>
                <w:sz w:val="20"/>
                <w:szCs w:val="20"/>
              </w:rPr>
              <w:t>с</w:t>
            </w:r>
            <w:r>
              <w:rPr>
                <w:rFonts w:ascii="Arial" w:hAnsi="Arial"/>
                <w:sz w:val="20"/>
                <w:szCs w:val="20"/>
              </w:rPr>
              <w:t>огласие(я) правообладателя(ей) земельного участка на отнесение земельного участка к определенной категории земель (за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  <w:r>
              <w:rPr>
                <w:rFonts w:ascii="Arial" w:hAnsi="Arial"/>
                <w:sz w:val="20"/>
                <w:szCs w:val="20"/>
              </w:rPr>
              <w:t>) правоустанавливающие или правоудостоверяющие документы на земельный участок;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) проект рекультивации земель (в случаях, установленных законодательством);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68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680"/>
              <w:jc w:val="both"/>
              <w:rPr>
                <w:rFonts w:ascii="Arial" w:hAnsi="Arial"/>
                <w:b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В случае обращения о переводе земельного участка из одной категории в другую: 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1) </w:t>
            </w:r>
            <w:r>
              <w:rPr>
                <w:rFonts w:ascii="Arial" w:hAnsi="Arial"/>
                <w:sz w:val="20"/>
                <w:szCs w:val="20"/>
              </w:rPr>
              <w:t>з</w:t>
            </w:r>
            <w:r>
              <w:rPr>
                <w:rFonts w:ascii="Arial" w:hAnsi="Arial"/>
                <w:sz w:val="20"/>
                <w:szCs w:val="20"/>
              </w:rPr>
              <w:t>аявление;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2) </w:t>
            </w:r>
            <w:r>
              <w:rPr>
                <w:rFonts w:ascii="Arial" w:hAnsi="Arial"/>
                <w:sz w:val="20"/>
                <w:szCs w:val="20"/>
              </w:rPr>
              <w:t>согласие(я) правообладателя(ей) земельного участка на перевод земельного участка из состава земель одной категории в другую (за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участка);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  <w:r>
              <w:rPr>
                <w:rFonts w:ascii="Arial" w:hAnsi="Arial"/>
                <w:sz w:val="20"/>
                <w:szCs w:val="20"/>
              </w:rPr>
              <w:t>) правоустанавливающие или правоудостоверяющие документы на земельный участок;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) проект рекультивации земель (в случаях, установленных законодательством)</w:t>
            </w:r>
          </w:p>
        </w:tc>
      </w:tr>
      <w:tr>
        <w:trPr>
          <w:trHeight w:val="823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Необязательные документы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PT Astra Serif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1) выписка из Единого государственного реестра юридических лиц (для юридических лиц), в случае обращения юридического лица;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PT Astra Serif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2) выписка из Единого государственного реестра индивидуальных предпринимателей, в случае обращения индивидуального предпринимателя;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PT Astra Serif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3) выписка из Единого государственного реестра недвижимости на земельный участок, перевод которого из состава земель одной категории в другую предполагается осуществить;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PT Astra Serif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4</w:t>
            </w: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) заключение государственной экологической экспертизы в случае, если ее проведение предусмотрено федеральными законами.</w:t>
            </w:r>
          </w:p>
        </w:tc>
      </w:tr>
      <w:tr>
        <w:trPr>
          <w:trHeight w:val="688" w:hRule="atLeast"/>
        </w:trPr>
        <w:tc>
          <w:tcPr>
            <w:tcW w:w="354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Результат оказания услуги</w:t>
            </w:r>
          </w:p>
        </w:tc>
        <w:tc>
          <w:tcPr>
            <w:tcW w:w="1185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Решение уполномоченного органа об отнесении земельного участков к определенной категории земель либо о переводе земельного участка из одной категории в другую;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Решение уполномоченного органа об отказе в предоставлении услуги</w:t>
            </w:r>
          </w:p>
        </w:tc>
      </w:tr>
      <w:tr>
        <w:trPr>
          <w:trHeight w:val="457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Срок оказания услуги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Cs w:val="20"/>
              </w:rPr>
            </w:pPr>
            <w:r>
              <w:rPr>
                <w:rFonts w:eastAsia="Calibri" w:cs="PT Astra Serif" w:ascii="Arial" w:hAnsi="Arial" w:eastAsiaTheme="minorHAnsi"/>
                <w:b/>
                <w:bCs/>
                <w:color w:val="00000A"/>
                <w:kern w:val="0"/>
                <w:sz w:val="20"/>
                <w:szCs w:val="20"/>
                <w:lang w:val="ru-RU" w:eastAsia="en-US" w:bidi="ar-SA"/>
              </w:rPr>
              <w:t>60 календарных</w:t>
            </w:r>
            <w:r>
              <w:rPr>
                <w:rFonts w:cs="PT Astra Serif" w:ascii="Arial" w:hAnsi="Arial"/>
                <w:b/>
                <w:bCs/>
                <w:sz w:val="20"/>
                <w:szCs w:val="20"/>
              </w:rPr>
              <w:t xml:space="preserve"> дней</w:t>
            </w:r>
            <w:r>
              <w:rPr>
                <w:rFonts w:cs="PT Astra Serif" w:ascii="Arial" w:hAnsi="Arial"/>
                <w:sz w:val="20"/>
                <w:szCs w:val="20"/>
              </w:rPr>
              <w:t>.</w:t>
            </w:r>
          </w:p>
        </w:tc>
      </w:tr>
      <w:tr>
        <w:trPr>
          <w:trHeight w:val="527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Основания для оказания услуги, основания для отказа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</w:t>
            </w:r>
            <w:r>
              <w:rPr>
                <w:rFonts w:ascii="Arial" w:hAnsi="Arial"/>
                <w:sz w:val="20"/>
                <w:szCs w:val="20"/>
              </w:rPr>
              <w:t xml:space="preserve"> представление неполного комплекта документов, необходимого для предоставления услуги;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3)</w:t>
            </w:r>
            <w:r>
              <w:rPr>
                <w:rFonts w:ascii="Arial" w:hAnsi="Arial"/>
                <w:sz w:val="20"/>
                <w:szCs w:val="20"/>
              </w:rPr>
              <w:t xml:space="preserve"> представленные документы, необходимые для предоставления услуги, утратили силу;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4)</w:t>
            </w:r>
            <w:r>
              <w:rPr>
                <w:rFonts w:ascii="Arial" w:hAnsi="Arial"/>
                <w:sz w:val="20"/>
                <w:szCs w:val="20"/>
              </w:rPr>
              <w:t xml:space="preserve"> представленные документы имеют подчистки и исправления текста, которые не заверены в порядке, установленном законодательством Российской Федерации;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5)</w:t>
            </w:r>
            <w:r>
              <w:rPr>
                <w:rFonts w:ascii="Arial" w:hAnsi="Arial"/>
                <w:sz w:val="20"/>
                <w:szCs w:val="20"/>
              </w:rPr>
              <w:t xml:space="preserve"> 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      </w:r>
          </w:p>
        </w:tc>
      </w:tr>
      <w:tr>
        <w:trPr>
          <w:trHeight w:val="479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Стоимость и порядок оплаты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 w:val="false"/>
                <w:b w:val="false"/>
                <w:bCs w:val="false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Муниципальная услуга предоставляется без взимания государственной пошлины или иной платы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567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51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>
    <w:name w:val="Основной шрифт абзаца"/>
    <w:qFormat/>
    <w:rPr/>
  </w:style>
  <w:style w:type="character" w:styleId="Style16">
    <w:name w:val="Интернет-ссылка"/>
    <w:basedOn w:val="Style15"/>
    <w:rPr>
      <w:color w:val="0000FF"/>
      <w:u w:val="single"/>
    </w:rPr>
  </w:style>
  <w:style w:type="character" w:styleId="Style17">
    <w:name w:val="Посещённая гиперссылка"/>
    <w:basedOn w:val="Style15"/>
    <w:rPr>
      <w:color w:val="8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0"/>
      <w:lang w:val="ru-RU" w:eastAsia="ru-RU" w:bidi="ar-SA"/>
    </w:rPr>
  </w:style>
  <w:style w:type="paragraph" w:styleId="Style23">
    <w:name w:val="Содержимое таблицы"/>
    <w:basedOn w:val="Normal"/>
    <w:qFormat/>
    <w:pPr/>
    <w:rPr/>
  </w:style>
  <w:style w:type="paragraph" w:styleId="Style24">
    <w:name w:val="Заголовок таблицы"/>
    <w:basedOn w:val="Style23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2244</TotalTime>
  <Application>LibreOffice/7.0.0.3$Windows_X86_64 LibreOffice_project/8061b3e9204bef6b321a21033174034a5e2ea88e</Application>
  <Pages>2</Pages>
  <Words>434</Words>
  <Characters>3223</Characters>
  <CharactersWithSpaces>3622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>Игорь Валентинович Прутовых</cp:lastModifiedBy>
  <cp:lastPrinted>2018-08-08T10:10:00Z</cp:lastPrinted>
  <dcterms:modified xsi:type="dcterms:W3CDTF">2025-07-23T10:51:46Z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