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6"/>
        <w:gridCol w:w="12906"/>
      </w:tblGrid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color w:val="000000" w:themeColor="text1"/>
                <w:sz w:val="24"/>
                <w:szCs w:val="24"/>
                <w:shd w:fill="FFFFFF" w:val="clear"/>
                <w:lang w:eastAsia="en-US"/>
              </w:rPr>
              <w:t>«Выдача разрешения на ввод объекта в эксплуатацию».</w:t>
            </w:r>
          </w:p>
        </w:tc>
      </w:tr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>
                <w:rStyle w:val="S5"/>
                <w:rFonts w:eastAsia="Times New Roman" w:cs="Calibri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>Администрация Куртамышского муниципального округа Курганской области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851" w:leader="none"/>
                <w:tab w:val="left" w:pos="1134" w:leader="none"/>
              </w:tabs>
              <w:spacing w:before="0" w:after="200"/>
              <w:ind w:left="0" w:right="0" w:hanging="0"/>
              <w:jc w:val="both"/>
              <w:rPr/>
            </w:pPr>
            <w:r>
              <w:rPr>
                <w:rStyle w:val="S5"/>
                <w:rFonts w:eastAsia="Times New Roman" w:cs="Liberation Serif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>Отдел строительства Администрации Куртамышского муниципального округа Курганской области</w:t>
            </w:r>
          </w:p>
        </w:tc>
      </w:tr>
      <w:tr>
        <w:trPr>
          <w:trHeight w:val="589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425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 w:themeColor="text1"/>
                <w:sz w:val="24"/>
                <w:szCs w:val="24"/>
                <w:shd w:fill="FFFFFF" w:val="clear"/>
              </w:rPr>
              <w:t>Заявителями на получение муниципальной услуги являются застройщики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425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 w:themeColor="text1"/>
                <w:sz w:val="24"/>
                <w:szCs w:val="24"/>
                <w:shd w:fill="FFFFFF" w:val="clear"/>
              </w:rPr>
      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</w:t>
            </w:r>
          </w:p>
        </w:tc>
      </w:tr>
      <w:tr>
        <w:trPr>
          <w:trHeight w:val="681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rPr/>
            </w:pPr>
            <w:r>
              <w:rPr>
                <w:rStyle w:val="FontStyle20"/>
                <w:rFonts w:eastAsia="Times New Roman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Постановление Администрации Куртамышского муниципального округа Курганской области от 05.10.2022 года № 208 </w:t>
            </w:r>
            <w:r>
              <w:rPr>
                <w:rStyle w:val="FontStyle20"/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</w:t>
            </w:r>
            <w:r>
              <w:rPr>
                <w:rStyle w:val="FontStyle20"/>
                <w:rFonts w:eastAsia="Calibri" w:cs="Liberation Serif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«Выдача разрешения на ввод объекта в эксплуатацию»</w:t>
            </w:r>
          </w:p>
        </w:tc>
      </w:tr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Web"/>
              <w:widowControl w:val="false"/>
              <w:spacing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FFFFFF" w:val="clear"/>
              </w:rPr>
              <w:t>Физические лица или юридические лица</w:t>
            </w:r>
          </w:p>
        </w:tc>
      </w:tr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Заявление </w:t>
            </w:r>
            <w:r>
              <w:rPr>
                <w:rFonts w:eastAsia="Arial" w:cs="Liberation Serif" w:ascii="Arial" w:hAnsi="Arial"/>
                <w:b/>
                <w:bCs w:val="false"/>
                <w:i w:val="false"/>
                <w:iCs w:val="false"/>
                <w:color w:val="000000" w:themeColor="text1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о выдаче разрешения на ввод объекта в эксплуатацию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- заявление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документ, удостоверяющий личность заявителя или представителя заявителя.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>
              <w:rPr>
                <w:rFonts w:eastAsia="Calibri" w:cs="Liberation Serif" w:ascii="Arial" w:hAnsi="Arial"/>
                <w:color w:val="000000" w:themeColor="text1"/>
                <w:sz w:val="24"/>
                <w:szCs w:val="24"/>
                <w:lang w:eastAsia="en-US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Cs/>
                <w:color w:val="000000" w:themeColor="text1"/>
                <w:sz w:val="24"/>
                <w:szCs w:val="24"/>
                <w:lang w:eastAsia="en-US"/>
              </w:rPr>
              <w:t>-документ,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olor w:val="000000" w:themeColor="text1"/>
                <w:spacing w:val="-1"/>
                <w:sz w:val="24"/>
                <w:szCs w:val="24"/>
                <w:u w:val="none"/>
                <w:shd w:fill="auto" w:val="clear"/>
                <w:lang w:val="ru-RU" w:eastAsia="en-US"/>
              </w:rPr>
              <w:t>-технический план объекта капитального строительства, подготовленный в соответствии с Федеральным законом от</w:t>
            </w: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olor w:val="333333"/>
                <w:spacing w:val="-1"/>
                <w:sz w:val="24"/>
                <w:szCs w:val="24"/>
                <w:u w:val="none"/>
                <w:shd w:fill="FFFFFF" w:val="clear"/>
                <w:lang w:val="ru-RU" w:eastAsia="en-US"/>
              </w:rPr>
              <w:t xml:space="preserve"> </w:t>
            </w: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en-US"/>
              </w:rPr>
              <w:t>13 июля 2015 года N 218-ФЗ</w:t>
            </w: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olor w:val="333333"/>
                <w:spacing w:val="-1"/>
                <w:sz w:val="24"/>
                <w:szCs w:val="24"/>
                <w:u w:val="none"/>
                <w:shd w:fill="FFFFFF" w:val="clear"/>
                <w:lang w:val="ru-RU" w:eastAsia="en-US"/>
              </w:rPr>
              <w:t> </w:t>
            </w: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olor w:val="000000" w:themeColor="text1"/>
                <w:spacing w:val="-1"/>
                <w:sz w:val="24"/>
                <w:szCs w:val="24"/>
                <w:u w:val="none"/>
                <w:shd w:fill="auto" w:val="clear"/>
                <w:lang w:val="ru-RU" w:eastAsia="en-US"/>
              </w:rPr>
              <w:t>«О государственной регистрации недвижимости».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21"/>
              <w:widowControl w:val="false"/>
              <w:suppressAutoHyphens w:val="false"/>
              <w:spacing w:lineRule="auto" w:line="240" w:before="0" w:after="200"/>
              <w:jc w:val="both"/>
              <w:rPr>
                <w:rFonts w:ascii="Arial" w:hAnsi="Arial" w:eastAsia="Arial" w:cs="Arial"/>
                <w:b/>
                <w:bCs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Заявление о выдаче дубликата разрешения на ввод объекта в эксплуатацию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документ, удостоверяющий личность заявителя или представителя заявителя.</w:t>
            </w:r>
          </w:p>
          <w:p>
            <w:pPr>
              <w:pStyle w:val="ConsPlus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Arial"/>
                <w:b w:val="false"/>
                <w:bCs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Fonts w:eastAsia="Calibri" w:cs="Arial" w:ascii="Arial" w:hAnsi="Arial"/>
                <w:b w:val="false"/>
                <w:bCs/>
                <w:i w:val="false"/>
                <w:iCs w:val="false"/>
                <w:color w:val="000000" w:themeColor="text1"/>
                <w:spacing w:val="-1"/>
                <w:sz w:val="24"/>
                <w:szCs w:val="24"/>
                <w:u w:val="none"/>
                <w:shd w:fill="FFFFFF" w:val="clear"/>
                <w:lang w:val="ru-RU" w:eastAsia="en-US"/>
              </w:rPr>
              <w:t>-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</w:t>
            </w:r>
          </w:p>
          <w:p>
            <w:pPr>
              <w:pStyle w:val="Style21"/>
              <w:widowControl w:val="false"/>
              <w:suppressAutoHyphens w:val="false"/>
              <w:spacing w:lineRule="auto" w:line="240" w:before="0" w:after="200"/>
              <w:jc w:val="both"/>
              <w:rPr>
                <w:color w:themeColor="text1"/>
                <w:lang w:eastAsia="en-US"/>
              </w:rPr>
            </w:pPr>
            <w:r>
              <w:rPr>
                <w:color w:themeColor="text1"/>
                <w:lang w:eastAsia="en-US"/>
              </w:rPr>
            </w:r>
          </w:p>
          <w:p>
            <w:pPr>
              <w:pStyle w:val="Style21"/>
              <w:widowControl w:val="false"/>
              <w:suppressAutoHyphens w:val="false"/>
              <w:spacing w:lineRule="auto" w:line="240" w:before="0" w:after="200"/>
              <w:jc w:val="both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themeColor="text1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Заявление об исправлении ошибок в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themeColor="text1"/>
                <w:sz w:val="24"/>
                <w:szCs w:val="24"/>
                <w:u w:val="none"/>
                <w:shd w:fill="auto" w:val="clear"/>
                <w:lang w:val="ru-RU"/>
              </w:rPr>
              <w:t>разрешение на ввод объекта в эксплуатацию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документ, удостоверяющий личность заявителя или представителя заявителя.</w:t>
            </w:r>
          </w:p>
          <w:p>
            <w:pPr>
              <w:pStyle w:val="ConsPlusNormal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Arial"/>
                <w:b w:val="false"/>
                <w:bCs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Fonts w:eastAsia="Calibri" w:cs="Arial" w:ascii="Arial" w:hAnsi="Arial"/>
                <w:b w:val="false"/>
                <w:bCs/>
                <w:i w:val="false"/>
                <w:iCs w:val="false"/>
                <w:color w:val="000000" w:themeColor="text1"/>
                <w:spacing w:val="-1"/>
                <w:sz w:val="24"/>
                <w:szCs w:val="24"/>
                <w:u w:val="none"/>
                <w:shd w:fill="FFFFFF" w:val="clear"/>
                <w:lang w:val="ru-RU" w:eastAsia="en-US"/>
              </w:rPr>
              <w:t>-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</w:t>
            </w:r>
          </w:p>
          <w:p>
            <w:pPr>
              <w:pStyle w:val="Style21"/>
              <w:widowControl w:val="false"/>
              <w:suppressAutoHyphens w:val="false"/>
              <w:spacing w:lineRule="auto" w:line="240" w:before="0" w:after="200"/>
              <w:jc w:val="both"/>
              <w:rPr>
                <w:color w:themeColor="text1"/>
                <w:lang w:eastAsia="en-US"/>
              </w:rPr>
            </w:pPr>
            <w:r>
              <w:rPr>
                <w:color w:themeColor="text1"/>
                <w:lang w:eastAsia="en-US"/>
              </w:rPr>
            </w:r>
          </w:p>
          <w:p>
            <w:pPr>
              <w:pStyle w:val="Style21"/>
              <w:widowControl w:val="false"/>
              <w:suppressAutoHyphens w:val="false"/>
              <w:spacing w:lineRule="auto" w:line="240" w:before="0" w:after="200"/>
              <w:jc w:val="both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themeColor="text1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Заявление об оставлении заявления о 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themeColor="text1"/>
                <w:sz w:val="24"/>
                <w:szCs w:val="24"/>
                <w:u w:val="none"/>
                <w:shd w:fill="auto" w:val="clear"/>
                <w:lang w:val="ru-RU" w:eastAsia="en-US"/>
              </w:rPr>
              <w:t>выдаче разрешения на ввод объекта в эксплуатацию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документ, удостоверяющий личность заявителя или представителя заявителя.</w:t>
            </w:r>
          </w:p>
          <w:p>
            <w:pPr>
              <w:pStyle w:val="ConsPlusNormal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color w:val="000000" w:themeColor="text1"/>
                <w:sz w:val="24"/>
                <w:szCs w:val="24"/>
                <w:lang w:eastAsia="en-US"/>
              </w:rPr>
              <w:t>-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</w:t>
            </w:r>
          </w:p>
        </w:tc>
      </w:tr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-градостроительный план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-разрешение на строительство;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-акт приемки объекта капитального строительства;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-заключение органа государственного строительного надзора;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 сведения из Единого государственного реестра юридических лиц;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 акт приемки выполненных работ по сохранению объекта культурного наследия.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228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-разрешение на ввод объекта в эксплуатацию (в том числе на отдельные этапы строительства, реконструкции объекта капитального строительства);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-решение об отказе в выдаче разрешения на ввод объекта в эксплуатацию.</w:t>
            </w:r>
          </w:p>
        </w:tc>
      </w:tr>
      <w:tr>
        <w:trPr>
          <w:trHeight w:val="635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 xml:space="preserve">-не более </w:t>
            </w:r>
            <w:r>
              <w:rPr>
                <w:rFonts w:eastAsia="Calibri" w:ascii="Arial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пяти рабочих дней </w:t>
            </w: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со дня поступления заявления о выдаче разрешения на ввод объекта в эксплуатацию в уполномоченный орган местного самоуправления</w:t>
            </w:r>
          </w:p>
        </w:tc>
      </w:tr>
      <w:tr>
        <w:trPr>
          <w:trHeight w:val="735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FF" w:val="clear"/>
              </w:rPr>
              <w:t>Оснований для отказа в приеме документов, необходимых для предоставления муниципальной услуги, не имеется.</w:t>
            </w:r>
          </w:p>
        </w:tc>
      </w:tr>
      <w:tr>
        <w:trPr>
          <w:trHeight w:val="381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услуги осуществляется без взимания платы</w:t>
            </w:r>
          </w:p>
        </w:tc>
      </w:tr>
      <w:tr>
        <w:trPr>
          <w:trHeight w:val="1256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rPr/>
            </w:pPr>
            <w:r>
              <w:rPr>
                <w:rStyle w:val="FontStyle20"/>
                <w:rFonts w:eastAsia="Times New Roman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Постановление Администрации Куртамышского муниципального округа Курганской области от 05.10.2022 года № 208 </w:t>
            </w:r>
            <w:r>
              <w:rPr>
                <w:rStyle w:val="FontStyle20"/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</w:t>
            </w:r>
            <w:r>
              <w:rPr>
                <w:rStyle w:val="FontStyle20"/>
                <w:rFonts w:eastAsia="Calibri" w:cs="Liberation Serif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«Выдача разрешения на ввод объекта в эксплуатацию»</w:t>
            </w:r>
          </w:p>
        </w:tc>
      </w:tr>
      <w:tr>
        <w:trPr>
          <w:trHeight w:val="1256" w:hRule="atLeast"/>
        </w:trPr>
        <w:tc>
          <w:tcPr>
            <w:tcW w:w="2456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Контактные данные</w:t>
            </w:r>
          </w:p>
        </w:tc>
        <w:tc>
          <w:tcPr>
            <w:tcW w:w="1290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Глава Куртамышского муниципального округа  А. Н. Гвоздев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Телефон: +7(35249) 2-13-94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Arial" w:hAnsi="Arial"/>
                <w:sz w:val="24"/>
                <w:szCs w:val="24"/>
              </w:rPr>
              <w:t>Адрес электронной:</w:t>
            </w:r>
            <w:hyperlink r:id="rId2">
              <w:r>
                <w:rPr>
                  <w:rStyle w:val="-"/>
                  <w:rFonts w:ascii="Arial" w:hAnsi="Arial"/>
                  <w:sz w:val="24"/>
                  <w:szCs w:val="24"/>
                </w:rPr>
                <w:t>kurtadm@yandex.ru</w:t>
              </w:r>
            </w:hyperlink>
          </w:p>
          <w:p>
            <w:pPr>
              <w:pStyle w:val="Style16"/>
              <w:widowControl w:val="false"/>
              <w:spacing w:before="0" w:after="0"/>
              <w:rPr/>
            </w:pPr>
            <w:r>
              <w:rPr>
                <w:rStyle w:val="-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US" w:eastAsia="ru-RU"/>
              </w:rPr>
              <w:t>Адрес: 641430, Курганская область, Куртамышский р-н, г Куртамыш, ул 22 Партсъезда, д. 40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S5" w:customStyle="1">
    <w:name w:val="s5"/>
    <w:basedOn w:val="DefaultParagraphFont"/>
    <w:qFormat/>
    <w:rsid w:val="001f34a6"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Style21">
    <w:name w:val="Style2"/>
    <w:basedOn w:val="Normal"/>
    <w:qFormat/>
    <w:pPr>
      <w:suppressAutoHyphens w:val="false"/>
      <w:spacing w:lineRule="exact" w:line="233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tadm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LibreOffice/7.5.3.2$Windows_X86_64 LibreOffice_project/9f56dff12ba03b9acd7730a5a481eea045e468f3</Application>
  <AppVersion>15.0000</AppVersion>
  <Pages>3</Pages>
  <Words>545</Words>
  <Characters>4362</Characters>
  <CharactersWithSpaces>4856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2025-02-18T14:12:37Z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