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</w:rPr>
              <w:t>Куртамышского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highlight w:val="white"/>
              </w:rPr>
              <w:t xml:space="preserve">тделом строительства </w:t>
            </w:r>
            <w:r>
              <w:rPr>
                <w:rFonts w:eastAsia="Arial" w:cs="Arial" w:ascii="Arial" w:hAnsi="Arial"/>
                <w:bCs/>
                <w:iCs/>
                <w:color w:val="000000"/>
                <w:sz w:val="24"/>
                <w:szCs w:val="24"/>
                <w:highlight w:val="white"/>
              </w:rPr>
              <w:t>Администрации Куртамышского муниципального округа Курганской области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34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П</w:t>
            </w:r>
            <w:r>
              <w:rPr>
                <w:rFonts w:cs="Liberation Serif" w:ascii="Arial" w:hAnsi="Arial"/>
                <w:sz w:val="24"/>
                <w:szCs w:val="24"/>
              </w:rPr>
      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146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личность;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146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-документ, удостоверяющий полномочия представителя заявителя, в случае обращения за предоставлением муниципальной услуги представителя заявителя;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146" w:hanging="0"/>
              <w:jc w:val="both"/>
              <w:rPr>
                <w:rFonts w:ascii="Arial" w:hAnsi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-заявление;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146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146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 w:ascii="Arial" w:hAnsi="Arial"/>
                <w:bCs/>
                <w:color w:val="000000"/>
                <w:sz w:val="24"/>
                <w:szCs w:val="24"/>
                <w:lang w:eastAsia="ru-RU"/>
              </w:rPr>
              <w:t>-нотариально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условно разрешенный вид использования,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34" w:leader="none"/>
              </w:tabs>
              <w:spacing w:before="0"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-1" w:hanging="0"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Результатами предоставления муниципальной услуги являются: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ind w:left="0" w:right="-1" w:hanging="0"/>
              <w:contextualSpacing/>
              <w:jc w:val="both"/>
              <w:outlineLvl w:val="2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</w:rPr>
              <w:t>-решение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47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12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.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08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.202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№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148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45" w:hanging="305"/>
      </w:pPr>
      <w:rPr>
        <w:sz w:val="24"/>
        <w:szCs w:val="24"/>
        <w:w w:val="100"/>
        <w:rFonts w:ascii="Liberation Sans" w:hAnsi="Liberation Sans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8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57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5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74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8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1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99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08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46" w:hanging="305"/>
      </w:pPr>
      <w:rPr>
        <w:sz w:val="24"/>
        <w:szCs w:val="24"/>
        <w:w w:val="100"/>
        <w:rFonts w:ascii="Liberation Sans" w:hAnsi="Liberation Sans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44" w:hanging="30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49" w:hanging="30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3" w:hanging="30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8" w:hanging="30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2" w:hanging="30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67" w:hanging="30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1" w:hanging="30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76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before="0" w:after="0"/>
      <w:jc w:val="left"/>
    </w:pPr>
    <w:rPr>
      <w:rFonts w:eastAsia="Times New Roman" w:cs="Calibri" w:ascii="Calibri" w:hAnsi="Calibri"/>
      <w:color w:val="00000A"/>
      <w:kern w:val="0"/>
      <w:sz w:val="22"/>
      <w:szCs w:val="20"/>
      <w:lang w:eastAsia="ru-RU" w:val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Application>LibreOffice/7.5.3.2$Windows_X86_64 LibreOffice_project/9f56dff12ba03b9acd7730a5a481eea045e468f3</Application>
  <AppVersion>15.0000</AppVersion>
  <DocSecurity>0</DocSecurity>
  <Pages>2</Pages>
  <Words>197</Words>
  <Characters>1833</Characters>
  <CharactersWithSpaces>2003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2025-03-26T11:50:04Z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