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/>
                <w:bCs/>
                <w:color w:val="403152" w:themeColor="accent4" w:themeShade="8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/>
                <w:bCs/>
                <w:i w:val="false"/>
                <w:iCs w:val="false"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>Выдача разрешения на производство земляных работ в городе Шадринске</w:t>
            </w:r>
            <w:r>
              <w:rPr>
                <w:rFonts w:eastAsia="Times New Roman" w:cs="Arial"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>В рамках муниципальной услуги оказываются следующие подуслуги: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 xml:space="preserve">- </w:t>
            </w:r>
            <w:r>
              <w:rPr>
                <w:rFonts w:eastAsia="Times New Roman" w:cs="Arial" w:ascii="Liberation Serif" w:hAnsi="Liberation Serif"/>
                <w:b/>
                <w:bCs/>
                <w:i w:val="false"/>
                <w:iCs w:val="false"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>подуслуга 1</w:t>
            </w:r>
            <w:r>
              <w:rPr>
                <w:rFonts w:eastAsia="Times New Roman" w:cs="Arial"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>: «Выдача разрешения на производство земляных работ»;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 xml:space="preserve">- </w:t>
            </w:r>
            <w:r>
              <w:rPr>
                <w:rFonts w:eastAsia="Times New Roman" w:cs="Arial" w:ascii="Liberation Serif" w:hAnsi="Liberation Serif"/>
                <w:b/>
                <w:bCs/>
                <w:i w:val="false"/>
                <w:iCs w:val="false"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>подуслуга 2</w:t>
            </w:r>
            <w:r>
              <w:rPr>
                <w:rFonts w:eastAsia="Times New Roman" w:cs="Arial"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>: «Продление разрешения на производство земляных работ»;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 xml:space="preserve">- </w:t>
            </w:r>
            <w:r>
              <w:rPr>
                <w:rFonts w:eastAsia="Times New Roman" w:cs="Arial" w:ascii="Liberation Serif" w:hAnsi="Liberation Serif"/>
                <w:b/>
                <w:bCs/>
                <w:i w:val="false"/>
                <w:iCs w:val="false"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>подуслуга 3</w:t>
            </w:r>
            <w:r>
              <w:rPr>
                <w:rFonts w:eastAsia="Times New Roman" w:cs="Arial"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>: «Закрытие разрешения на производство земляных работ.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/>
                <w:color w:val="403152" w:themeColor="accent4" w:themeShade="80"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  <w:lang w:val="ru-RU"/>
              </w:rPr>
              <w:t xml:space="preserve">Администрация </w:t>
            </w:r>
            <w:bookmarkStart w:id="0" w:name="_GoBack"/>
            <w:bookmarkEnd w:id="0"/>
            <w:r>
              <w:rPr>
                <w:rFonts w:ascii="Liberation Serif" w:hAnsi="Liberation Serif"/>
                <w:sz w:val="28"/>
                <w:szCs w:val="28"/>
                <w:shd w:fill="auto" w:val="clear"/>
                <w:lang w:val="ru-RU"/>
              </w:rPr>
              <w:t>города Шадринска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/>
                <w:color w:val="403152" w:themeColor="accent4" w:themeShade="80"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/>
                <w:color w:val="403152" w:themeColor="accent4" w:themeShade="8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  <w:lang w:val="ru-RU"/>
              </w:rPr>
              <w:t>Отдел административно-технической инспекции Администрации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/>
                <w:color w:val="403152" w:themeColor="accent4" w:themeShade="80"/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 w:val="false"/>
                <w:bCs w:val="false"/>
                <w:sz w:val="28"/>
                <w:szCs w:val="28"/>
                <w:lang w:eastAsia="ru-RU"/>
              </w:rPr>
              <w:t>Заявителями при обращении за разрешением на производство земляных работ являются физические и юридические лица, индивидуальные предприниматели, а также их законные представители, действующие на основании доверенности (далее – заявители), намеревающиеся осуществить земляные работы при строительстве, реконструкции, ремонте зданий, сооружений, инженерных коммуникаций, проведении благоустройства и озеленения территорий, связанных с разбивкой грунта и (или) нарушением покрытий (асфальтобетонных, бетонных, грунтовых) дорог, улиц, площадей общего пользования, а также при проведении аварийно-восстановительных работ инженерных коммуникаций на территории муниципального образования – город Шадринск.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/>
                <w:color w:val="403152" w:themeColor="accent4" w:themeShade="80"/>
                <w:sz w:val="28"/>
                <w:szCs w:val="28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 xml:space="preserve">Для </w:t>
            </w:r>
            <w:r>
              <w:rPr>
                <w:rFonts w:eastAsia="Arial" w:cs="Arial" w:ascii="Liberation Serif" w:hAnsi="Liberation Serif"/>
                <w:b/>
                <w:bCs/>
                <w:color w:val="1C1C1C"/>
                <w:sz w:val="28"/>
                <w:szCs w:val="28"/>
                <w:shd w:fill="auto" w:val="clear"/>
              </w:rPr>
              <w:t>подуслуги 1</w:t>
            </w: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: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1) юридическое лицо (индивидуальный предприниматель) представляет: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- заявление о выдаче разрешения на производство земляных работ по форме согласно приложению 1 к Административному регламенту;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- проектную документацию, согласованную и утвержденную в установленном порядке с собственниками инженерных коммуникаций, с лицами, являющимися собственниками, арендаторами, балансодержателями и иными законными владельцами земельных участков;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- приказ организации-подрядчика о назначении ответственного лица за производство работ;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- копию договора и сметы, заключенного с подрядной организацией на восстановление нарушенного благоустройства, согласованных с собственником (балансодержателем) автомобильной дороги муниципального значения;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- гарантийное письмо организации-заявителя о восстановлении нарушенного благоустройства при производстве работ в зимний период, по форме согласно приложению 3 к Административному регламенту;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2) физическое лицо представляет: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- заявление о выдаче разрешения на производство земляных работ 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- исполнительную съемку, согласованную с соответствующими организациями, ответственными за эксплуатацию коммуникаций, расположенных на участке производства работ, с лицами, являющимися собственниками, арендаторами, балансодержателями и иными законными владельцами земельных участков;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- технические условия на строительство (реконструкцию) инженерных коммуникаций.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 xml:space="preserve">Для </w:t>
            </w:r>
            <w:r>
              <w:rPr>
                <w:rFonts w:eastAsia="Arial" w:cs="Arial" w:ascii="Liberation Serif" w:hAnsi="Liberation Serif"/>
                <w:b/>
                <w:bCs/>
                <w:color w:val="1C1C1C"/>
                <w:sz w:val="28"/>
                <w:szCs w:val="28"/>
                <w:shd w:fill="auto" w:val="clear"/>
              </w:rPr>
              <w:t>подуслуги 2</w:t>
            </w: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: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1) заявление, с указанием причин превышения сроков проведения работ, с уточнением срока окончания работ, по форме согласно приложению 4 к Административному регламенту;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2) документы, подтверждающие причины продления срока действия разрешения (в зависимости от причин продления к таким документам могут быть отнесены: акт обследования объекта, акт о выявленных дефектах, акт о результатах гидравлических испытаний, наряд на проведение работ по устранению аварийной ситуации, проектная документация или иные документы, обосновывающие продление);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3) подлинник разрешения на проведение земляных работ.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Продление разрешения осуществляется не более одного раза.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 xml:space="preserve">Для </w:t>
            </w:r>
            <w:r>
              <w:rPr>
                <w:rFonts w:eastAsia="Arial" w:cs="Arial" w:ascii="Liberation Serif" w:hAnsi="Liberation Serif"/>
                <w:b/>
                <w:bCs/>
                <w:color w:val="1C1C1C"/>
                <w:sz w:val="28"/>
                <w:szCs w:val="28"/>
                <w:shd w:fill="auto" w:val="clear"/>
              </w:rPr>
              <w:t>подуслуги 3</w:t>
            </w: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: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1) заявление на закрытие разрешения на производство земляных работ, по форме согласно приложению 7 к Административному регламенту;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2) акт о завершении земляных работ, по форме согласно приложению 8 к Административному регламенту.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/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Arial" w:ascii="Liberation Serif" w:hAnsi="Liberation Serif"/>
                <w:b/>
                <w:bCs/>
                <w:sz w:val="28"/>
                <w:szCs w:val="28"/>
              </w:rPr>
              <w:t>В случае обращения Заявителя за исправлением допущенных опечаток и ошибок</w:t>
            </w:r>
            <w:r>
              <w:rPr>
                <w:rFonts w:cs="Arial" w:ascii="Liberation Serif" w:hAnsi="Liberation Serif"/>
                <w:sz w:val="28"/>
                <w:szCs w:val="28"/>
              </w:rPr>
              <w:t xml:space="preserve"> в выданных в результате предоставления муниципальной услуги документах заявитель представляет в произвольной форме заявление об исправлении опечаток и (или) ошибок, допущенных в документах, выданных в результате предоставления муниципальной услуги, либо отказе в предоставлении муниципальной услуги.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cs="Arial" w:ascii="Liberation Serif" w:hAnsi="Liberation Serif"/>
                <w:sz w:val="28"/>
                <w:szCs w:val="28"/>
              </w:rPr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hang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Arial" w:ascii="Liberation Serif" w:hAnsi="Liberation Serif"/>
                <w:b/>
                <w:bCs/>
                <w:sz w:val="28"/>
                <w:szCs w:val="28"/>
              </w:rPr>
              <w:t>В случае обращения Заявителя за выдачей дубликата документа</w:t>
            </w:r>
            <w:r>
              <w:rPr>
                <w:rFonts w:cs="Arial" w:ascii="Liberation Serif" w:hAnsi="Liberation Serif"/>
                <w:sz w:val="28"/>
                <w:szCs w:val="28"/>
              </w:rPr>
              <w:t xml:space="preserve">, выданного по результатам предоставления муниципальной услуги заявитель представляет заявление по форме </w:t>
            </w:r>
            <w:r>
              <w:rPr>
                <w:rFonts w:eastAsia="Arial" w:cs="Arial" w:ascii="Liberation Serif" w:hAnsi="Liberation Serif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согласно приложению 9 к Административному регламенту с указанием обстоятельств утраты (порчи) документа.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/>
                <w:color w:val="403152" w:themeColor="accent4" w:themeShade="80"/>
                <w:sz w:val="28"/>
                <w:szCs w:val="28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-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/>
                <w:color w:val="403152" w:themeColor="accent4" w:themeShade="8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Default"/>
              <w:widowControl w:val="false"/>
              <w:ind w:left="0" w:right="0" w:hang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для </w:t>
            </w: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подуслуги 1</w:t>
            </w:r>
            <w:r>
              <w:rPr>
                <w:rFonts w:ascii="Liberation Serif" w:hAnsi="Liberation Serif"/>
                <w:sz w:val="28"/>
                <w:szCs w:val="28"/>
              </w:rPr>
              <w:t>: разрешение на производство земляных работ, по форме согласно приложению 2 к настоящему Административному регламенту, подписанное должностным лицом уполномоченного органа;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trike w:val="false"/>
                <w:dstrike w:val="false"/>
                <w:sz w:val="28"/>
                <w:szCs w:val="28"/>
                <w:u w:val="none"/>
              </w:rPr>
              <w:t xml:space="preserve">- для </w:t>
            </w:r>
            <w:r>
              <w:rPr>
                <w:rFonts w:ascii="Liberation Serif" w:hAnsi="Liberation Serif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подуслуги 2</w:t>
            </w:r>
            <w:r>
              <w:rPr>
                <w:rFonts w:ascii="Liberation Serif" w:hAnsi="Liberation Serif"/>
                <w:strike w:val="false"/>
                <w:dstrike w:val="false"/>
                <w:sz w:val="28"/>
                <w:szCs w:val="28"/>
                <w:u w:val="none"/>
              </w:rPr>
              <w:t>: решение о продлении разрешения на производство земляных работ, подписанное должностным лицом уполномоченного органа, принимаемое путем заполнения графы «срок действия разрешения (производства работ) продлен» во всех экземплярах разрешения на производство земляных работ;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trike w:val="false"/>
                <w:dstrike w:val="false"/>
                <w:sz w:val="28"/>
                <w:szCs w:val="28"/>
                <w:u w:val="none"/>
              </w:rPr>
              <w:t xml:space="preserve">- для </w:t>
            </w:r>
            <w:r>
              <w:rPr>
                <w:rFonts w:ascii="Liberation Serif" w:hAnsi="Liberation Serif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подуслуги 3</w:t>
            </w:r>
            <w:r>
              <w:rPr>
                <w:rFonts w:ascii="Liberation Serif" w:hAnsi="Liberation Serif"/>
                <w:strike w:val="false"/>
                <w:dstrike w:val="false"/>
                <w:sz w:val="28"/>
                <w:szCs w:val="28"/>
                <w:u w:val="none"/>
              </w:rPr>
              <w:t>: решение о закрытии разрешения на производство земляных работ, по форме согласно приложению 5 к настоящему Административному регламенту, подписанное должностным лицом уполномоченного органа;</w:t>
            </w:r>
          </w:p>
          <w:p>
            <w:pPr>
              <w:pStyle w:val="Normal"/>
              <w:widowControl w:val="false"/>
              <w:spacing w:before="0" w:after="200"/>
              <w:ind w:left="0" w:right="0" w:hang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trike w:val="false"/>
                <w:dstrike w:val="false"/>
                <w:sz w:val="28"/>
                <w:szCs w:val="28"/>
                <w:u w:val="none"/>
              </w:rPr>
              <w:t>- решение об отказе в предоставлении муниципальной услуги по форме согласно приложению 6 к настоящему Административному регламенту, подписанное должностным лицом уполномоченного органа.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/>
                <w:color w:val="403152" w:themeColor="accent4" w:themeShade="8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Срок предоставления муниципальной услуги составляет не более 3 рабочих дней со дня поступления заявления и документов, необходимых для предоставления муниципальной услуги.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Исправление допущенных опечаток и ошибок в выданных в результате предоставления муниципальной услуги документах — 5 рабочих дней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Выдача дубликата документа, выданного по результатам предоставления муниципальной услуги — 3 рабочих дня.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/>
                <w:color w:val="403152" w:themeColor="accent4" w:themeShade="80"/>
                <w:sz w:val="28"/>
                <w:szCs w:val="28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/>
                <w:color w:val="403152" w:themeColor="accent4" w:themeShade="8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 w:val="false"/>
                <w:bCs w:val="false"/>
                <w:sz w:val="28"/>
                <w:szCs w:val="28"/>
                <w:shd w:fill="auto" w:val="clear"/>
                <w:lang w:val="ru-RU" w:eastAsia="ru-RU"/>
              </w:rPr>
              <w:t>Муниципальная услуга предоставляется бесплатно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/>
                <w:color w:val="403152" w:themeColor="accent4" w:themeShade="80"/>
                <w:sz w:val="28"/>
                <w:szCs w:val="28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Срок возврата невостребованных дел- 30 календарных дней.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Arial" w:ascii="Liberation Serif" w:hAnsi="Liberation Serif"/>
                <w:b/>
                <w:color w:val="403152" w:themeColor="accent4" w:themeShade="80"/>
                <w:sz w:val="28"/>
                <w:szCs w:val="28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3"/>
                <w:rFonts w:cs="Arial" w:ascii="Liberation Serif" w:hAnsi="Liberation Serif"/>
                <w:sz w:val="28"/>
                <w:szCs w:val="28"/>
                <w:lang w:val="ru-RU" w:eastAsia="ru-RU" w:bidi="ar-SA"/>
              </w:rPr>
              <w:t>Постановление Администрации города Шадринска от 3 марта 2025 года № 400 Об утверждении Административного регламента по предоставлению муниципальной услуги «Выдача разрешения на производство земляных работ в городе Шадринске»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0"/>
      <w:color w:val="000000"/>
      <w:kern w:val="0"/>
      <w:sz w:val="24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Application>LibreOffice/7.3.7.2$Windows_X86_64 LibreOffice_project/e114eadc50a9ff8d8c8a0567d6da8f454beeb84f</Application>
  <AppVersion>15.0000</AppVersion>
  <Pages>4</Pages>
  <Words>721</Words>
  <Characters>5486</Characters>
  <CharactersWithSpaces>6156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2025-03-05T14:36:00Z</dcterms:created>
  <dc:creator>500</dc:creator>
  <dc:description/>
  <dc:language>ru-RU</dc:language>
  <cp:lastModifiedBy/>
  <dcterms:modified xsi:type="dcterms:W3CDTF">2025-05-28T11:09:26Z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