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74"/>
        <w:gridCol w:w="12488"/>
      </w:tblGrid>
      <w:tr>
        <w:trPr>
          <w:trHeight w:val="493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overflowPunct w:val="false"/>
              <w:spacing w:lineRule="auto" w:line="240" w:before="0" w:after="0"/>
              <w:ind w:firstLine="709"/>
              <w:jc w:val="center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eastAsia="ArialMT" w:cs="Times New Roman" w:ascii="Arial" w:hAnsi="Arial"/>
                <w:b/>
                <w:bCs/>
                <w:i w:val="false"/>
                <w:iCs w:val="false"/>
                <w:color w:val="000000"/>
                <w:sz w:val="24"/>
                <w:szCs w:val="24"/>
                <w:u w:val="none"/>
                <w:lang w:val="ru-RU" w:eastAsia="ru-RU"/>
              </w:rPr>
              <w:t>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widowControl/>
              <w:suppressAutoHyphens w:val="true"/>
              <w:spacing w:before="10" w:after="0"/>
              <w:ind w:firstLine="709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  <w:shd w:fill="auto" w:val="clear"/>
              </w:rPr>
            </w:pPr>
            <w:r>
              <w:rPr>
                <w:rFonts w:cs="Times New Roman"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shd w:fill="auto" w:val="clear"/>
              </w:rPr>
              <w:t>Администраци</w:t>
            </w:r>
            <w:r>
              <w:rPr>
                <w:rFonts w:cs="Times New Roman"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shd w:fill="auto" w:val="clear"/>
              </w:rPr>
              <w:t>я</w:t>
            </w:r>
            <w:r>
              <w:rPr>
                <w:rFonts w:cs="Times New Roman"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shd w:fill="auto" w:val="clear"/>
              </w:rPr>
              <w:t xml:space="preserve"> Мокроусовского муниципального округа                                                                                                                         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993" w:leader="none"/>
                <w:tab w:val="left" w:pos="1134" w:leader="none"/>
                <w:tab w:val="left" w:pos="1418" w:leader="none"/>
              </w:tabs>
              <w:spacing w:lineRule="auto" w:line="240" w:before="0" w:after="0"/>
              <w:ind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" w:ascii="Arial" w:hAnsi="Arial" w:cstheme="minorBidi" w:eastAsiaTheme="minorHAnsi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eastAsia="en-US"/>
              </w:rPr>
              <w:t xml:space="preserve"> </w:t>
            </w:r>
            <w:r>
              <w:rPr>
                <w:rFonts w:eastAsia="Calibri" w:cs="PT Astra Serif"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shd w:fill="auto" w:val="clear"/>
                <w:lang w:eastAsia="en-US"/>
              </w:rPr>
              <w:t xml:space="preserve"> </w:t>
            </w:r>
            <w:r>
              <w:rPr>
                <w:rFonts w:eastAsia="Calibri" w:cs="PT Astra Serif"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shd w:fill="auto" w:val="clear"/>
                <w:lang w:eastAsia="en-US"/>
              </w:rPr>
              <w:t>О</w:t>
            </w:r>
            <w:r>
              <w:rPr>
                <w:rFonts w:eastAsia="Calibri" w:cs="Times New Roman"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shd w:fill="auto" w:val="clear"/>
                <w:lang w:eastAsia="en-US"/>
              </w:rPr>
              <w:t>тдел имущественных и земельных отношений Администрации Мокроусовского муниципального округа</w:t>
            </w:r>
          </w:p>
        </w:tc>
      </w:tr>
      <w:tr>
        <w:trPr/>
        <w:tc>
          <w:tcPr>
            <w:tcW w:w="2874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lang w:eastAsia="ru-RU"/>
              </w:rPr>
              <w:t>Подуслуги</w:t>
            </w:r>
          </w:p>
        </w:tc>
        <w:tc>
          <w:tcPr>
            <w:tcW w:w="12488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contextualSpacing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  <w:t>Нет</w:t>
            </w:r>
          </w:p>
        </w:tc>
      </w:tr>
      <w:tr>
        <w:trPr>
          <w:trHeight w:val="435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Заявители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shd w:val="clear" w:color="auto" w:fill="FFFFFF"/>
              <w:tabs>
                <w:tab w:val="clear" w:pos="720"/>
                <w:tab w:val="left" w:pos="1325" w:leader="none"/>
                <w:tab w:val="left" w:pos="3070" w:leader="none"/>
                <w:tab w:val="left" w:pos="3575" w:leader="none"/>
                <w:tab w:val="left" w:pos="5063" w:leader="none"/>
                <w:tab w:val="left" w:pos="7310" w:leader="none"/>
                <w:tab w:val="left" w:pos="9623" w:leader="none"/>
              </w:tabs>
              <w:overflowPunct w:val="false"/>
              <w:spacing w:lineRule="auto" w:line="240" w:before="0" w:after="0"/>
              <w:ind w:firstLine="709"/>
              <w:jc w:val="both"/>
              <w:rPr>
                <w:rFonts w:ascii="Arial" w:hAnsi="Arial" w:cs="PT Astra Serif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ru-RU"/>
              </w:rPr>
              <w:t>Заявителями на получение государственной (муниципальной) услуги являются физические лица, индивидуальные предприниматели и юридические лица</w:t>
            </w:r>
          </w:p>
          <w:p>
            <w:pPr>
              <w:pStyle w:val="Normal"/>
              <w:widowControl/>
              <w:shd w:val="clear" w:color="auto" w:fill="FFFFFF"/>
              <w:tabs>
                <w:tab w:val="clear" w:pos="720"/>
                <w:tab w:val="left" w:pos="1325" w:leader="none"/>
                <w:tab w:val="left" w:pos="3070" w:leader="none"/>
                <w:tab w:val="left" w:pos="3575" w:leader="none"/>
                <w:tab w:val="left" w:pos="5063" w:leader="none"/>
                <w:tab w:val="left" w:pos="7310" w:leader="none"/>
                <w:tab w:val="left" w:pos="9623" w:leader="none"/>
              </w:tabs>
              <w:overflowPunct w:val="false"/>
              <w:spacing w:lineRule="auto" w:line="240" w:before="0" w:after="0"/>
              <w:ind w:firstLine="709"/>
              <w:jc w:val="both"/>
              <w:rPr>
                <w:rFonts w:ascii="Arial" w:hAnsi="Arial" w:cs="PT Astra Serif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ru-RU"/>
              </w:rPr>
              <w:t>Интересы заявителей,  могут представлять лица, обладающие соответствующими полномочиями.</w:t>
            </w:r>
          </w:p>
        </w:tc>
      </w:tr>
      <w:tr>
        <w:trPr>
          <w:trHeight w:val="1685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1130" w:leader="none"/>
              </w:tabs>
              <w:overflowPunct w:val="false"/>
              <w:spacing w:lineRule="auto" w:line="240" w:before="0" w:after="0"/>
              <w:jc w:val="both"/>
              <w:rPr>
                <w:rFonts w:ascii="Arial" w:hAnsi="Arial"/>
                <w:spacing w:val="-2"/>
                <w:sz w:val="24"/>
                <w:szCs w:val="24"/>
                <w:lang w:val="ru-RU" w:eastAsia="en-US"/>
              </w:rPr>
            </w:pPr>
            <w:r>
              <w:rPr>
                <w:rFonts w:cs="Times New Roman" w:ascii="Arial" w:hAnsi="Arial"/>
                <w:bCs/>
                <w:spacing w:val="-2"/>
                <w:sz w:val="24"/>
                <w:szCs w:val="24"/>
                <w:lang w:val="ru-RU" w:eastAsia="en-US"/>
              </w:rPr>
              <w:t>Заявление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1130" w:leader="none"/>
              </w:tabs>
              <w:overflowPunct w:val="false"/>
              <w:spacing w:lineRule="auto" w:line="240" w:before="0" w:after="0"/>
              <w:jc w:val="both"/>
              <w:rPr>
                <w:rFonts w:ascii="Arial" w:hAnsi="Arial"/>
                <w:spacing w:val="-2"/>
                <w:sz w:val="24"/>
                <w:szCs w:val="24"/>
                <w:lang w:val="ru-RU" w:eastAsia="en-US"/>
              </w:rPr>
            </w:pPr>
            <w:r>
              <w:rPr>
                <w:rFonts w:cs="Times New Roman" w:ascii="Arial" w:hAnsi="Arial"/>
                <w:bCs/>
                <w:spacing w:val="-2"/>
                <w:sz w:val="24"/>
                <w:szCs w:val="24"/>
                <w:lang w:val="ru-RU" w:eastAsia="en-US"/>
              </w:rPr>
              <w:t>Документ, удостоверяющий личность заявителя, представителя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1130" w:leader="none"/>
              </w:tabs>
              <w:overflowPunct w:val="false"/>
              <w:spacing w:lineRule="auto" w:line="240" w:before="0" w:after="0"/>
              <w:jc w:val="both"/>
              <w:rPr>
                <w:rFonts w:ascii="Arial" w:hAnsi="Arial"/>
                <w:spacing w:val="-2"/>
                <w:sz w:val="24"/>
                <w:szCs w:val="24"/>
                <w:lang w:val="ru-RU" w:eastAsia="en-US"/>
              </w:rPr>
            </w:pPr>
            <w:r>
              <w:rPr>
                <w:rFonts w:cs="Times New Roman" w:ascii="Arial" w:hAnsi="Arial"/>
                <w:bCs/>
                <w:spacing w:val="-2"/>
                <w:sz w:val="24"/>
                <w:szCs w:val="24"/>
                <w:lang w:val="ru-RU" w:eastAsia="en-US"/>
              </w:rPr>
              <w:t xml:space="preserve">Документ, подтверждающий полномочия представителя действовать от имени заявителя 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1130" w:leader="none"/>
              </w:tabs>
              <w:overflowPunct w:val="false"/>
              <w:spacing w:lineRule="auto" w:line="240" w:before="0" w:after="0"/>
              <w:jc w:val="both"/>
              <w:rPr>
                <w:rFonts w:ascii="Arial" w:hAnsi="Arial"/>
                <w:spacing w:val="-2"/>
                <w:sz w:val="24"/>
                <w:szCs w:val="24"/>
                <w:lang w:val="ru-RU" w:eastAsia="en-US"/>
              </w:rPr>
            </w:pPr>
            <w:r>
              <w:rPr>
                <w:rFonts w:cs="Times New Roman" w:ascii="Arial" w:hAnsi="Arial"/>
                <w:bCs/>
                <w:spacing w:val="-2"/>
                <w:sz w:val="24"/>
                <w:szCs w:val="24"/>
                <w:lang w:val="ru-RU" w:eastAsia="en-US"/>
              </w:rPr>
              <w:t>Схема расположения земельного участка (если отсутствует проект межевания территории)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1130" w:leader="none"/>
              </w:tabs>
              <w:overflowPunct w:val="false"/>
              <w:spacing w:lineRule="auto" w:line="240" w:before="0" w:after="0"/>
              <w:jc w:val="both"/>
              <w:rPr>
                <w:rFonts w:ascii="Arial" w:hAnsi="Arial"/>
                <w:spacing w:val="-2"/>
                <w:sz w:val="24"/>
                <w:szCs w:val="24"/>
                <w:lang w:val="ru-RU" w:eastAsia="en-US"/>
              </w:rPr>
            </w:pPr>
            <w:r>
              <w:rPr>
                <w:rFonts w:cs="Times New Roman" w:ascii="Arial" w:hAnsi="Arial"/>
                <w:bCs/>
                <w:spacing w:val="-2"/>
                <w:sz w:val="24"/>
                <w:szCs w:val="24"/>
                <w:lang w:val="ru-RU" w:eastAsia="en-US"/>
              </w:rPr>
              <w:t>Согласие землепользователей, землевладельцев, арендаторов на перераспределение земельных участков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Times New Roman" w:ascii="Arial" w:hAnsi="Arial"/>
                <w:bCs/>
                <w:sz w:val="24"/>
                <w:szCs w:val="24"/>
              </w:rPr>
              <w:t xml:space="preserve">Согласие залогодержателя на перераспределение земельных участков. </w:t>
            </w:r>
            <w:r>
              <w:rPr>
                <w:rFonts w:cs="Times New Roman" w:ascii="Arial" w:hAnsi="Arial"/>
                <w:bCs/>
                <w:spacing w:val="-2"/>
                <w:sz w:val="24"/>
                <w:szCs w:val="24"/>
                <w:shd w:fill="FFFF00" w:val="clear"/>
                <w:lang w:val="ru-RU" w:eastAsia="en-US"/>
              </w:rPr>
              <w:t>В случае</w:t>
            </w:r>
            <w:r>
              <w:rPr>
                <w:rFonts w:cs="Times New Roman" w:ascii="Arial" w:hAnsi="Arial"/>
                <w:bCs/>
                <w:spacing w:val="-2"/>
                <w:sz w:val="24"/>
                <w:szCs w:val="24"/>
                <w:lang w:val="ru-RU" w:eastAsia="en-US"/>
              </w:rPr>
              <w:t>, если права собственности на такой земельный участок обременены залогом, требуется представить согласие залогодержателей на перераспределение земельных участков.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1130" w:leader="none"/>
              </w:tabs>
              <w:overflowPunct w:val="false"/>
              <w:spacing w:lineRule="auto" w:line="240" w:before="0" w:after="0"/>
              <w:jc w:val="both"/>
              <w:rPr>
                <w:rFonts w:ascii="Arial" w:hAnsi="Arial"/>
                <w:spacing w:val="-2"/>
                <w:sz w:val="24"/>
                <w:szCs w:val="24"/>
                <w:lang w:val="ru-RU" w:eastAsia="en-US"/>
              </w:rPr>
            </w:pPr>
            <w:r>
              <w:rPr>
                <w:rFonts w:cs="Times New Roman" w:ascii="Arial" w:hAnsi="Arial"/>
                <w:bCs/>
                <w:spacing w:val="-2"/>
                <w:sz w:val="24"/>
                <w:szCs w:val="24"/>
                <w:lang w:val="ru-RU" w:eastAsia="en-US"/>
              </w:rPr>
              <w:t>Правоустанавливающий документ на земельный участок (</w:t>
            </w:r>
            <w:r>
              <w:rPr>
                <w:rFonts w:cs="Times New Roman" w:ascii="Arial" w:hAnsi="Arial"/>
                <w:bCs/>
                <w:spacing w:val="-2"/>
                <w:sz w:val="24"/>
                <w:szCs w:val="24"/>
                <w:shd w:fill="FFFF00" w:val="clear"/>
                <w:lang w:val="ru-RU" w:eastAsia="en-US"/>
              </w:rPr>
              <w:t>в случае</w:t>
            </w:r>
            <w:r>
              <w:rPr>
                <w:rFonts w:cs="Times New Roman" w:ascii="Arial" w:hAnsi="Arial"/>
                <w:bCs/>
                <w:spacing w:val="-2"/>
                <w:sz w:val="24"/>
                <w:szCs w:val="24"/>
                <w:lang w:val="ru-RU" w:eastAsia="en-US"/>
              </w:rPr>
              <w:t>, если право собственности не зарегистрировано в Едином государственном реестре недвижимости).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1130" w:leader="none"/>
              </w:tabs>
              <w:overflowPunct w:val="false"/>
              <w:spacing w:lineRule="auto" w:line="240" w:before="0" w:after="0"/>
              <w:jc w:val="both"/>
              <w:rPr>
                <w:rFonts w:ascii="Arial" w:hAnsi="Arial"/>
                <w:spacing w:val="-2"/>
                <w:sz w:val="24"/>
                <w:szCs w:val="24"/>
                <w:lang w:val="ru-RU" w:eastAsia="en-US"/>
              </w:rPr>
            </w:pPr>
            <w:r>
              <w:rPr>
                <w:rFonts w:cs="Times New Roman" w:ascii="Arial" w:hAnsi="Arial"/>
                <w:bCs/>
                <w:spacing w:val="-2"/>
                <w:sz w:val="24"/>
                <w:szCs w:val="24"/>
                <w:lang w:val="ru-RU" w:eastAsia="en-US"/>
              </w:rPr>
              <w:t xml:space="preserve">Заверенный перевод на русский язык документов о государственной регистрации юридического лица </w:t>
            </w:r>
            <w:r>
              <w:rPr>
                <w:rFonts w:cs="Times New Roman" w:ascii="Arial" w:hAnsi="Arial"/>
                <w:bCs/>
                <w:spacing w:val="-2"/>
                <w:sz w:val="24"/>
                <w:szCs w:val="24"/>
                <w:lang w:val="ru-RU" w:eastAsia="en-US"/>
              </w:rPr>
              <w:t>(</w:t>
            </w:r>
            <w:r>
              <w:rPr>
                <w:rFonts w:cs="Times New Roman" w:ascii="Arial" w:hAnsi="Arial"/>
                <w:bCs/>
                <w:spacing w:val="-2"/>
                <w:sz w:val="24"/>
                <w:szCs w:val="24"/>
                <w:shd w:fill="FFFF00" w:val="clear"/>
                <w:lang w:val="ru-RU" w:eastAsia="en-US"/>
              </w:rPr>
              <w:t xml:space="preserve">если </w:t>
            </w:r>
            <w:r>
              <w:rPr>
                <w:rFonts w:cs="Times New Roman" w:ascii="Arial" w:hAnsi="Arial"/>
                <w:bCs/>
                <w:spacing w:val="-2"/>
                <w:sz w:val="24"/>
                <w:szCs w:val="24"/>
                <w:lang w:val="ru-RU" w:eastAsia="en-US"/>
              </w:rPr>
              <w:t xml:space="preserve"> заявителем является иностранное юридическое лицо)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1130" w:leader="none"/>
              </w:tabs>
              <w:overflowPunct w:val="false"/>
              <w:spacing w:lineRule="auto" w:line="240" w:before="0" w:after="0"/>
              <w:jc w:val="both"/>
              <w:rPr>
                <w:rFonts w:ascii="Arial" w:hAnsi="Arial"/>
                <w:spacing w:val="-2"/>
                <w:sz w:val="24"/>
                <w:szCs w:val="24"/>
                <w:lang w:val="ru-RU" w:eastAsia="en-US"/>
              </w:rPr>
            </w:pPr>
            <w:r>
              <w:rPr>
                <w:rFonts w:cs="Times New Roman" w:ascii="Arial" w:hAnsi="Arial"/>
                <w:bCs/>
                <w:spacing w:val="-2"/>
                <w:sz w:val="24"/>
                <w:szCs w:val="24"/>
                <w:lang w:val="ru-RU" w:eastAsia="en-US"/>
              </w:rPr>
              <w:t>Выписка из Единого государственного реестра недвижимости о земельном участке, образуемом в результате перераспределения (</w:t>
            </w:r>
            <w:r>
              <w:rPr>
                <w:rFonts w:cs="Times New Roman" w:ascii="Arial" w:hAnsi="Arial"/>
                <w:bCs/>
                <w:spacing w:val="-2"/>
                <w:sz w:val="24"/>
                <w:szCs w:val="24"/>
                <w:shd w:fill="FFFF00" w:val="clear"/>
                <w:lang w:val="ru-RU" w:eastAsia="en-US"/>
              </w:rPr>
              <w:t>предоставляется после</w:t>
            </w:r>
            <w:r>
              <w:rPr>
                <w:rFonts w:cs="Times New Roman" w:ascii="Arial" w:hAnsi="Arial"/>
                <w:bCs/>
                <w:spacing w:val="-2"/>
                <w:sz w:val="24"/>
                <w:szCs w:val="24"/>
                <w:lang w:val="ru-RU" w:eastAsia="en-US"/>
              </w:rPr>
              <w:t xml:space="preserve"> государственного кадастрового учета земельного участка, образуемого в результате перераспределения)</w:t>
            </w:r>
          </w:p>
          <w:p>
            <w:pPr>
              <w:pStyle w:val="Normal"/>
              <w:widowControl/>
              <w:shd w:val="clear" w:color="auto" w:fill="FFFFFF"/>
              <w:tabs>
                <w:tab w:val="clear" w:pos="720"/>
                <w:tab w:val="left" w:pos="1130" w:leader="none"/>
              </w:tabs>
              <w:overflowPunct w:val="false"/>
              <w:spacing w:lineRule="auto" w:line="240" w:before="0" w:after="0"/>
              <w:ind w:firstLine="708"/>
              <w:jc w:val="both"/>
              <w:rPr>
                <w:rFonts w:ascii="Arial" w:hAnsi="Arial"/>
                <w:spacing w:val="-2"/>
                <w:sz w:val="24"/>
                <w:szCs w:val="24"/>
                <w:lang w:val="ru-RU" w:eastAsia="en-US"/>
              </w:rPr>
            </w:pPr>
            <w:r>
              <w:rPr>
                <w:rFonts w:ascii="Arial" w:hAnsi="Arial"/>
                <w:spacing w:val="-2"/>
                <w:sz w:val="24"/>
                <w:szCs w:val="24"/>
                <w:lang w:val="ru-RU" w:eastAsia="en-US"/>
              </w:rPr>
            </w:r>
          </w:p>
        </w:tc>
      </w:tr>
      <w:tr>
        <w:trPr>
          <w:trHeight w:val="523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6"/>
              <w:widowControl w:val="false"/>
              <w:shd w:val="clear" w:color="auto" w:fill="FFFFFF"/>
              <w:tabs>
                <w:tab w:val="clear" w:pos="720"/>
                <w:tab w:val="left" w:pos="1157" w:leader="none"/>
              </w:tabs>
              <w:overflowPunct w:val="false"/>
              <w:spacing w:lineRule="exact" w:line="320" w:before="0" w:after="0"/>
              <w:ind w:hanging="0"/>
              <w:jc w:val="left"/>
              <w:rPr>
                <w:rFonts w:ascii="Arial" w:hAnsi="Arial" w:cs="PT Astra Serif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PT Astra Serif"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ru-RU" w:eastAsia="en-US"/>
              </w:rPr>
              <w:t>1. Выписка из ЕГРЮЛ</w:t>
            </w:r>
          </w:p>
          <w:p>
            <w:pPr>
              <w:pStyle w:val="Style26"/>
              <w:widowControl w:val="false"/>
              <w:shd w:val="clear" w:color="auto" w:fill="FFFFFF"/>
              <w:tabs>
                <w:tab w:val="clear" w:pos="720"/>
                <w:tab w:val="left" w:pos="1157" w:leader="none"/>
              </w:tabs>
              <w:overflowPunct w:val="false"/>
              <w:spacing w:lineRule="exact" w:line="320" w:before="0" w:after="0"/>
              <w:ind w:hanging="0"/>
              <w:jc w:val="left"/>
              <w:rPr>
                <w:rFonts w:ascii="Arial" w:hAnsi="Arial" w:cs="PT Astra Serif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PT Astra Serif"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ru-RU" w:eastAsia="en-US"/>
              </w:rPr>
              <w:t>2. Выписка из ЕГРИП</w:t>
            </w:r>
          </w:p>
          <w:p>
            <w:pPr>
              <w:pStyle w:val="Style26"/>
              <w:widowControl w:val="false"/>
              <w:shd w:val="clear" w:color="auto" w:fill="FFFFFF"/>
              <w:tabs>
                <w:tab w:val="clear" w:pos="720"/>
                <w:tab w:val="left" w:pos="1157" w:leader="none"/>
              </w:tabs>
              <w:overflowPunct w:val="false"/>
              <w:spacing w:lineRule="exact" w:line="320" w:before="0" w:after="0"/>
              <w:ind w:hanging="0"/>
              <w:jc w:val="left"/>
              <w:rPr>
                <w:rFonts w:ascii="Arial" w:hAnsi="Arial" w:cs="PT Astra Serif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PT Astra Serif"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ru-RU" w:eastAsia="en-US"/>
              </w:rPr>
              <w:t xml:space="preserve">3.  </w:t>
            </w:r>
            <w:r>
              <w:rPr>
                <w:rFonts w:cs="Times New Roman" w:ascii="Arial" w:hAnsi="Arial"/>
                <w:b w:val="false"/>
                <w:bCs/>
                <w:i w:val="false"/>
                <w:iCs w:val="false"/>
                <w:sz w:val="24"/>
                <w:szCs w:val="24"/>
                <w:lang w:val="ru-RU" w:eastAsia="en-US"/>
              </w:rPr>
              <w:t>Выписка из Е</w:t>
            </w:r>
            <w:r>
              <w:rPr>
                <w:rFonts w:eastAsia="Calibri" w:cs="Times New Roman" w:ascii="Arial" w:hAnsi="Arial" w:eastAsiaTheme="minorHAnsi"/>
                <w:b w:val="false"/>
                <w:bCs/>
                <w:i w:val="false"/>
                <w:i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ГРН</w:t>
            </w:r>
            <w:r>
              <w:rPr>
                <w:rFonts w:cs="Times New Roman" w:ascii="Arial" w:hAnsi="Arial"/>
                <w:b w:val="false"/>
                <w:bCs/>
                <w:i w:val="false"/>
                <w:iCs w:val="false"/>
                <w:sz w:val="24"/>
                <w:szCs w:val="24"/>
                <w:lang w:val="ru-RU" w:eastAsia="en-US"/>
              </w:rPr>
              <w:t xml:space="preserve"> в отношении земельного участка</w:t>
            </w:r>
          </w:p>
          <w:p>
            <w:pPr>
              <w:pStyle w:val="Normal"/>
              <w:widowControl/>
              <w:shd w:val="clear" w:color="auto" w:fill="FFFFFF"/>
              <w:tabs>
                <w:tab w:val="clear" w:pos="720"/>
                <w:tab w:val="left" w:pos="1157" w:leader="none"/>
              </w:tabs>
              <w:overflowPunct w:val="false"/>
              <w:spacing w:lineRule="exact" w:line="320" w:before="0" w:after="0"/>
              <w:ind w:hanging="0"/>
              <w:jc w:val="both"/>
              <w:rPr>
                <w:rFonts w:ascii="Arial" w:hAnsi="Arial" w:cs="PT Astra Serif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Arial" w:hAnsi="Arial"/>
                <w:b w:val="false"/>
                <w:bCs/>
                <w:i w:val="false"/>
                <w:iCs w:val="false"/>
                <w:sz w:val="24"/>
                <w:szCs w:val="24"/>
                <w:lang w:val="ru-RU" w:eastAsia="en-US"/>
              </w:rPr>
              <w:t>4. Согласование или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отношений.</w:t>
            </w:r>
          </w:p>
        </w:tc>
      </w:tr>
      <w:tr>
        <w:trPr>
          <w:trHeight w:val="671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20"/>
                <w:tab w:val="left" w:pos="1304" w:leader="none"/>
              </w:tabs>
              <w:overflowPunct w:val="false"/>
              <w:spacing w:lineRule="auto" w:line="240" w:before="0" w:after="0"/>
              <w:jc w:val="both"/>
              <w:outlineLvl w:val="2"/>
              <w:rPr>
                <w:rFonts w:ascii="Arial" w:hAnsi="Arial" w:cs="PT Astra Serif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Arial" w:hAnsi="Arial"/>
                <w:b w:val="false"/>
                <w:bCs/>
                <w:i w:val="false"/>
                <w:iCs w:val="false"/>
                <w:sz w:val="24"/>
                <w:szCs w:val="24"/>
                <w:lang w:val="ru-RU"/>
              </w:rPr>
              <w:t>Проект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 (далее – соглашение о перераспределении), подписанный должностным лицом уполномоченного органа.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20"/>
                <w:tab w:val="left" w:pos="1304" w:leader="none"/>
              </w:tabs>
              <w:overflowPunct w:val="false"/>
              <w:spacing w:lineRule="auto" w:line="240" w:before="0" w:after="0"/>
              <w:jc w:val="both"/>
              <w:outlineLvl w:val="2"/>
              <w:rPr>
                <w:rFonts w:ascii="Arial" w:hAnsi="Arial" w:cs="PT Astra Serif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Arial" w:hAnsi="Arial"/>
                <w:b w:val="false"/>
                <w:bCs/>
                <w:i w:val="false"/>
                <w:iCs w:val="false"/>
                <w:sz w:val="24"/>
                <w:szCs w:val="24"/>
                <w:lang w:val="ru-RU"/>
              </w:rPr>
              <w:t>Решение об отказе в заключении соглашения о перераспределении земельных участков</w:t>
            </w:r>
          </w:p>
          <w:p>
            <w:pPr>
              <w:pStyle w:val="Normal"/>
              <w:widowControl/>
              <w:ind w:firstLine="709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Times New Roman" w:ascii="Arial" w:hAnsi="Arial"/>
                <w:b/>
                <w:bCs/>
                <w:sz w:val="24"/>
                <w:szCs w:val="24"/>
              </w:rPr>
              <w:t>Промежуточными результатами</w:t>
            </w:r>
            <w:r>
              <w:rPr>
                <w:rFonts w:cs="Times New Roman" w:ascii="Arial" w:hAnsi="Arial"/>
                <w:bCs/>
                <w:sz w:val="24"/>
                <w:szCs w:val="24"/>
              </w:rPr>
              <w:t xml:space="preserve"> предоставления государственной (муниципальной) услуги являются:</w:t>
            </w:r>
          </w:p>
          <w:p>
            <w:pPr>
              <w:pStyle w:val="Normal"/>
              <w:widowControl/>
              <w:ind w:firstLine="709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Times New Roman" w:ascii="Arial" w:hAnsi="Arial"/>
                <w:bCs/>
                <w:sz w:val="24"/>
                <w:szCs w:val="24"/>
              </w:rPr>
              <w:t xml:space="preserve">- согласие на заключение соглашения о перераспределении земельных участков в соответствии с утвержденным проектом межевания территории 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20"/>
                <w:tab w:val="left" w:pos="1304" w:leader="none"/>
              </w:tabs>
              <w:overflowPunct w:val="false"/>
              <w:spacing w:lineRule="auto" w:line="240" w:before="0" w:after="0"/>
              <w:ind w:firstLine="709"/>
              <w:jc w:val="both"/>
              <w:outlineLvl w:val="2"/>
              <w:rPr>
                <w:rFonts w:ascii="Arial" w:hAnsi="Arial" w:cs="PT Astra Serif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Arial" w:hAnsi="Arial"/>
                <w:b w:val="false"/>
                <w:bCs/>
                <w:i w:val="false"/>
                <w:iCs w:val="false"/>
                <w:sz w:val="24"/>
                <w:szCs w:val="24"/>
                <w:lang w:val="ru-RU"/>
              </w:rPr>
              <w:t>- решение об утверждении схемы расположения земельного участка или земельных участков на кадастровом плане территории (далее – схема расположения земельного участка), в случае, если отсутствует проект межевания территории, в границах которой осуществляется перераспределение земельных участков</w:t>
            </w:r>
          </w:p>
        </w:tc>
      </w:tr>
      <w:tr>
        <w:trPr>
          <w:trHeight w:val="665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993" w:leader="none"/>
                <w:tab w:val="left" w:pos="1134" w:leader="none"/>
                <w:tab w:val="left" w:pos="1373" w:leader="none"/>
              </w:tabs>
              <w:spacing w:lineRule="auto" w:line="240" w:beforeAutospacing="1" w:after="0"/>
              <w:ind w:hanging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eastAsia="en-US"/>
              </w:rPr>
              <w:t xml:space="preserve">В срок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lang w:eastAsia="en-US"/>
              </w:rPr>
              <w:t xml:space="preserve">не более чем </w:t>
            </w:r>
            <w:r>
              <w:rPr>
                <w:rFonts w:eastAsia="Calibri" w:cs="" w:ascii="Arial" w:hAnsi="Arial" w:cstheme="minorBidi" w:eastAsiaTheme="minorHAnsi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20 календарных дней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eastAsia="en-US"/>
              </w:rPr>
              <w:t xml:space="preserve">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действий: </w:t>
            </w:r>
          </w:p>
          <w:p>
            <w:pPr>
              <w:pStyle w:val="Style22"/>
              <w:widowControl w:val="false"/>
              <w:shd w:val="clear" w:color="auto" w:fill="FFFFFF"/>
              <w:tabs>
                <w:tab w:val="clear" w:pos="720"/>
                <w:tab w:val="left" w:pos="993" w:leader="none"/>
                <w:tab w:val="left" w:pos="1134" w:leader="none"/>
                <w:tab w:val="left" w:pos="1373" w:leader="none"/>
              </w:tabs>
              <w:spacing w:lineRule="auto" w:line="240" w:beforeAutospacing="1" w:after="0"/>
              <w:ind w:hanging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eastAsia="en-US"/>
              </w:rPr>
              <w:t>1) принимает решение об утверждении схемы расположения земельного участка и направляет это решение с приложением указанной схемы заявителю;</w:t>
            </w:r>
          </w:p>
          <w:p>
            <w:pPr>
              <w:pStyle w:val="Style22"/>
              <w:rPr>
                <w:rFonts w:ascii="Arial" w:hAnsi="Arial"/>
                <w:sz w:val="24"/>
                <w:szCs w:val="24"/>
              </w:rPr>
            </w:pPr>
            <w:bookmarkStart w:id="0" w:name="dst1007"/>
            <w:bookmarkEnd w:id="0"/>
            <w:r>
              <w:rPr>
                <w:rFonts w:ascii="Arial" w:hAnsi="Arial"/>
                <w:sz w:val="24"/>
                <w:szCs w:val="24"/>
              </w:rPr>
              <w:t>2)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территории;</w:t>
            </w:r>
          </w:p>
          <w:p>
            <w:pPr>
              <w:pStyle w:val="Style22"/>
              <w:rPr/>
            </w:pPr>
            <w:bookmarkStart w:id="1" w:name="dst1008"/>
            <w:bookmarkEnd w:id="1"/>
            <w:r>
              <w:rPr>
                <w:rFonts w:ascii="Arial" w:hAnsi="Arial"/>
                <w:sz w:val="24"/>
                <w:szCs w:val="24"/>
              </w:rPr>
              <w:t xml:space="preserve">3) принимает решение об отказе в заключении соглашения о перераспределении земельных участков при наличии оснований, предусмотренных </w:t>
            </w:r>
            <w:r>
              <w:fldChar w:fldCharType="begin"/>
            </w:r>
            <w:r>
              <w:rPr>
                <w:sz w:val="24"/>
                <w:szCs w:val="24"/>
                <w:rFonts w:ascii="Arial" w:hAnsi="Arial"/>
              </w:rPr>
              <w:instrText> HYPERLINK "https://www.consultant.ru/document/cons_doc_LAW_501324/e9f4434475273ff84c4898fa7b16495b04c075dc/" \l "dst1009"</w:instrText>
            </w:r>
            <w:r>
              <w:rPr>
                <w:sz w:val="24"/>
                <w:szCs w:val="24"/>
                <w:rFonts w:ascii="Arial" w:hAnsi="Arial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</w:rPr>
              <w:t>пунктом 9</w:t>
            </w:r>
            <w:r>
              <w:rPr>
                <w:sz w:val="24"/>
                <w:szCs w:val="24"/>
                <w:rFonts w:ascii="Arial" w:hAnsi="Arial"/>
              </w:rPr>
              <w:fldChar w:fldCharType="end"/>
            </w:r>
            <w:r>
              <w:rPr>
                <w:rFonts w:ascii="Arial" w:hAnsi="Arial"/>
                <w:sz w:val="24"/>
                <w:szCs w:val="24"/>
              </w:rPr>
              <w:t xml:space="preserve"> настоящей статьи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993" w:leader="none"/>
                <w:tab w:val="left" w:pos="1134" w:leader="none"/>
                <w:tab w:val="left" w:pos="1373" w:leader="none"/>
              </w:tabs>
              <w:spacing w:lineRule="auto" w:line="240" w:beforeAutospacing="1" w:after="0"/>
              <w:ind w:hanging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7"/>
              <w:widowControl w:val="false"/>
              <w:spacing w:before="0" w:after="14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Отсутствие документа удостоверяющего личность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567" w:leader="none"/>
              </w:tabs>
              <w:overflowPunct w:val="false"/>
              <w:spacing w:lineRule="auto" w:line="240" w:before="0" w:after="0"/>
              <w:ind w:firstLine="709"/>
              <w:contextualSpacing/>
              <w:jc w:val="both"/>
              <w:rPr>
                <w:rFonts w:ascii="Arial" w:hAnsi="Arial" w:cs="PT Astra Serif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Arial" w:hAnsi="Arial"/>
                <w:b w:val="false"/>
                <w:bCs w:val="false"/>
                <w:i w:val="false"/>
                <w:iCs w:val="false"/>
                <w:spacing w:val="-2"/>
                <w:sz w:val="24"/>
                <w:szCs w:val="24"/>
                <w:lang w:val="ru-RU"/>
              </w:rPr>
              <w:t>Предоставление (государственной) муниципальной услуги осуществляется бесплатно.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4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PT Astra Serif" w:ascii="Arial" w:hAnsi="Arial"/>
                <w:b w:val="false"/>
                <w:bCs w:val="false"/>
                <w:i w:val="false"/>
                <w:iCs/>
                <w:sz w:val="24"/>
                <w:szCs w:val="24"/>
                <w:lang w:eastAsia="ru-RU"/>
              </w:rPr>
              <w:t>Постановление Администрации Мокроусовского муниципального округа Курганской области от 10 ноября 2022 года № 250</w:t>
            </w:r>
          </w:p>
          <w:p>
            <w:pPr>
              <w:pStyle w:val="Normal"/>
              <w:widowControl w:val="false"/>
              <w:spacing w:before="0" w:after="14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PT Astra Serif" w:ascii="Arial" w:hAnsi="Arial"/>
                <w:b w:val="false"/>
                <w:bCs w:val="false"/>
                <w:i w:val="false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PT Astra Serif" w:ascii="Arial" w:hAnsi="Arial"/>
                <w:b w:val="false"/>
                <w:bCs w:val="false"/>
                <w:i w:val="false"/>
                <w:iCs/>
                <w:sz w:val="24"/>
                <w:szCs w:val="24"/>
                <w:lang w:eastAsia="ru-RU"/>
              </w:rPr>
              <w:t>«Об утверждении Административного регламента предоставления государственной (муниципальной)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 на территории Мокроусовского муниципального округа</w:t>
            </w:r>
          </w:p>
        </w:tc>
      </w:tr>
      <w:tr>
        <w:trPr>
          <w:trHeight w:val="869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Контактные данные органа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Исп. </w:t>
            </w:r>
            <w:r>
              <w:rPr>
                <w:rFonts w:eastAsia="Calibri" w:cs="" w:ascii="Arial" w:hAnsi="Arial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Алена Алексеевна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PT Astra Serif"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eastAsia="ar-SA"/>
              </w:rPr>
              <w:t>Тел.: 8(35234) 9-75-30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200"/>
        <w:rPr>
          <w:rFonts w:ascii="Arial" w:hAnsi="Arial" w:cs="Arial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5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Style16" w:customStyle="1">
    <w:name w:val="Гипертекстовая ссылка"/>
    <w:qFormat/>
    <w:rsid w:val="00e74706"/>
    <w:rPr>
      <w:b/>
      <w:bCs/>
      <w:color w:val="106BBE"/>
    </w:rPr>
  </w:style>
  <w:style w:type="character" w:styleId="Style17" w:customStyle="1">
    <w:name w:val="Основной текст + Полужирный"/>
    <w:basedOn w:val="DefaultParagraphFont"/>
    <w:qFormat/>
    <w:rsid w:val="00f727d6"/>
    <w:rPr>
      <w:rFonts w:ascii="Arial" w:hAnsi="Arial" w:eastAsia="Arial" w:cs="Arial"/>
      <w:b/>
      <w:bCs/>
      <w:i/>
      <w:iCs/>
      <w:caps w:val="false"/>
      <w:smallCaps w:val="false"/>
      <w:strike w:val="false"/>
      <w:dstrike w:val="false"/>
      <w:color w:val="000000"/>
      <w:spacing w:val="1"/>
      <w:w w:val="100"/>
      <w:sz w:val="18"/>
      <w:szCs w:val="18"/>
      <w:u w:val="none"/>
      <w:effect w:val="none"/>
      <w:lang w:val="ru-RU"/>
    </w:rPr>
  </w:style>
  <w:style w:type="character" w:styleId="1" w:customStyle="1">
    <w:name w:val="Основной текст1"/>
    <w:basedOn w:val="DefaultParagraphFont"/>
    <w:qFormat/>
    <w:rsid w:val="00ff4511"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2"/>
      <w:w w:val="100"/>
      <w:sz w:val="18"/>
      <w:szCs w:val="18"/>
      <w:u w:val="none"/>
      <w:effect w:val="none"/>
      <w:lang w:val="ru-RU"/>
    </w:rPr>
  </w:style>
  <w:style w:type="character" w:styleId="Style18" w:customStyle="1">
    <w:name w:val="Основной текст_"/>
    <w:basedOn w:val="DefaultParagraphFont"/>
    <w:link w:val="2"/>
    <w:qFormat/>
    <w:locked/>
    <w:rsid w:val="00835080"/>
    <w:rPr>
      <w:rFonts w:ascii="Arial" w:hAnsi="Arial" w:eastAsia="Arial" w:cs="Arial"/>
      <w:spacing w:val="2"/>
      <w:sz w:val="18"/>
      <w:szCs w:val="18"/>
      <w:shd w:fill="FFFFFF" w:val="clear"/>
    </w:rPr>
  </w:style>
  <w:style w:type="character" w:styleId="WW8Num5z0">
    <w:name w:val="WW8Num5z0"/>
    <w:qFormat/>
    <w:rPr>
      <w:rFonts w:ascii="Times New Roman" w:hAnsi="Times New Roman" w:eastAsia="Times New Roman" w:cs="Times New Roman"/>
      <w:spacing w:val="0"/>
      <w:w w:val="100"/>
      <w:sz w:val="28"/>
      <w:szCs w:val="28"/>
    </w:rPr>
  </w:style>
  <w:style w:type="character" w:styleId="Style19">
    <w:name w:val="Маркеры"/>
    <w:qFormat/>
    <w:rPr>
      <w:rFonts w:ascii="OpenSymbol" w:hAnsi="OpenSymbol" w:eastAsia="OpenSymbol" w:cs="OpenSymbol"/>
    </w:rPr>
  </w:style>
  <w:style w:type="character" w:styleId="WW8Num24z0">
    <w:name w:val="WW8Num24z0"/>
    <w:qFormat/>
    <w:rPr>
      <w:rFonts w:cs="Times New Roman"/>
      <w:sz w:val="28"/>
      <w:szCs w:val="28"/>
      <w:lang w:val="ru-RU"/>
    </w:rPr>
  </w:style>
  <w:style w:type="character" w:styleId="WW8Num24z1">
    <w:name w:val="WW8Num24z1"/>
    <w:qFormat/>
    <w:rPr>
      <w:rFonts w:cs="Times New Roman"/>
    </w:rPr>
  </w:style>
  <w:style w:type="character" w:styleId="Style20">
    <w:name w:val="Символ нумерации"/>
    <w:qFormat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uiPriority w:val="99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2" w:customStyle="1">
    <w:name w:val="Основной текст2"/>
    <w:basedOn w:val="Normal"/>
    <w:link w:val="aa"/>
    <w:qFormat/>
    <w:rsid w:val="00835080"/>
    <w:pPr>
      <w:widowControl w:val="false"/>
      <w:shd w:val="clear" w:color="auto" w:fill="FFFFFF"/>
      <w:spacing w:lineRule="exact" w:line="230" w:before="0" w:after="240"/>
    </w:pPr>
    <w:rPr>
      <w:rFonts w:ascii="Arial" w:hAnsi="Arial" w:eastAsia="Arial" w:cs="Arial"/>
      <w:spacing w:val="2"/>
      <w:sz w:val="18"/>
      <w:szCs w:val="18"/>
    </w:rPr>
  </w:style>
  <w:style w:type="paragraph" w:styleId="Style26">
    <w:name w:val="Абзац списка"/>
    <w:basedOn w:val="Normal"/>
    <w:qFormat/>
    <w:pPr>
      <w:widowControl w:val="false"/>
      <w:suppressAutoHyphens w:val="false"/>
      <w:ind w:left="137" w:firstLine="708"/>
      <w:jc w:val="both"/>
    </w:pPr>
    <w:rPr>
      <w:sz w:val="22"/>
      <w:szCs w:val="22"/>
      <w:lang w:val="en-US"/>
    </w:rPr>
  </w:style>
  <w:style w:type="paragraph" w:styleId="Style27">
    <w:name w:val="Содержимое таблицы"/>
    <w:basedOn w:val="Normal"/>
    <w:qFormat/>
    <w:pPr>
      <w:widowControl w:val="false"/>
      <w:suppressLineNumbers/>
    </w:pPr>
    <w:rPr/>
  </w:style>
  <w:style w:type="paragraph" w:styleId="Style28">
    <w:name w:val="Заголовок таблицы"/>
    <w:basedOn w:val="Style27"/>
    <w:qFormat/>
    <w:pPr>
      <w:suppressLineNumbers/>
      <w:jc w:val="center"/>
    </w:pPr>
    <w:rPr>
      <w:b/>
      <w:bCs/>
    </w:rPr>
  </w:style>
  <w:style w:type="paragraph" w:styleId="11">
    <w:name w:val="Основной текст1"/>
    <w:basedOn w:val="Normal"/>
    <w:qFormat/>
    <w:pPr>
      <w:widowControl w:val="false"/>
      <w:shd w:val="clear" w:fill="FFFFFF"/>
      <w:ind w:firstLine="400"/>
    </w:pPr>
    <w:rPr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WW8Num5">
    <w:name w:val="WW8Num5"/>
    <w:qFormat/>
  </w:style>
  <w:style w:type="numbering" w:styleId="WW8Num24">
    <w:name w:val="WW8Num24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Application>LibreOffice/7.0.4.2$Windows_X86_64 LibreOffice_project/dcf040e67528d9187c66b2379df5ea4407429775</Application>
  <AppVersion>15.0000</AppVersion>
  <Pages>3</Pages>
  <Words>489</Words>
  <Characters>3915</Characters>
  <CharactersWithSpaces>4478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2022-04-27T05:48:00Z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2025-04-08T16:22:32Z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