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217" w:right="220" w:firstLine="707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«Направление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уведомления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указанных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уведомлении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планируемом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строительстве параметров объекта индивидуального жилищного строительства 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садового дома установленным параметрам и допустимости размещения объекта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индивидуального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жилищного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строительства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садового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дома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земельном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участке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67" w:after="0"/>
              <w:ind w:left="217" w:right="228" w:firstLine="707"/>
              <w:jc w:val="left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Arial" w:hAnsi="Arial" w:eastAsiaTheme="minorHAnsi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Администрация Мокроусовского муниципального округа.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7" w:after="0"/>
              <w:ind w:left="217" w:right="228" w:firstLine="707"/>
              <w:jc w:val="left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отделом архитектуры и строительства Администрации Мокроусовского муниципального округа.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ind w:left="925" w:right="222" w:hanging="0"/>
              <w:jc w:val="left"/>
              <w:rPr>
                <w:rStyle w:val="1"/>
                <w:rFonts w:ascii="Arial" w:hAnsi="Arial" w:cs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pacing w:val="1"/>
                <w:sz w:val="24"/>
                <w:szCs w:val="24"/>
                <w:lang w:val="ru-RU"/>
              </w:rPr>
            </w:pP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Заявителями при обращении за получением услуги являются застройщики.</w:t>
            </w:r>
          </w:p>
          <w:p>
            <w:pPr>
              <w:pStyle w:val="Style24"/>
              <w:widowControl w:val="false"/>
              <w:ind w:left="925" w:right="222" w:hanging="0"/>
              <w:jc w:val="left"/>
              <w:rPr/>
            </w:pP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Заявитель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вправе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обратиться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получением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услуги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через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представителя.</w:t>
            </w:r>
          </w:p>
          <w:p>
            <w:pPr>
              <w:pStyle w:val="Style24"/>
              <w:widowControl w:val="false"/>
              <w:spacing w:before="0" w:after="140"/>
              <w:ind w:left="925" w:right="222" w:hanging="0"/>
              <w:jc w:val="left"/>
              <w:rPr/>
            </w:pP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Физические, юридические лица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jc w:val="left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уведомление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планируемом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строительстве (уведомление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об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изменении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параметров)</w:t>
            </w:r>
          </w:p>
          <w:p>
            <w:pPr>
              <w:pStyle w:val="Style24"/>
              <w:widowControl w:val="false"/>
              <w:numPr>
                <w:ilvl w:val="0"/>
                <w:numId w:val="1"/>
              </w:numPr>
              <w:jc w:val="left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документ,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удостоверяющий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личность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заявителя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представителя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заявителя</w:t>
            </w:r>
          </w:p>
          <w:p>
            <w:pPr>
              <w:pStyle w:val="Style24"/>
              <w:widowControl w:val="false"/>
              <w:numPr>
                <w:ilvl w:val="0"/>
                <w:numId w:val="1"/>
              </w:numPr>
              <w:jc w:val="left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документ,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подтверждающий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полномочия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представителя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заявителя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действовать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от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имени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заявителя</w:t>
            </w:r>
          </w:p>
          <w:p>
            <w:pPr>
              <w:pStyle w:val="Style24"/>
              <w:widowControl w:val="false"/>
              <w:numPr>
                <w:ilvl w:val="0"/>
                <w:numId w:val="1"/>
              </w:numPr>
              <w:jc w:val="left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правоустанавливающие документы на земельный участок в случае, если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права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на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него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не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зарегистрированы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Едином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государственном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реестре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недвижимости</w:t>
            </w:r>
          </w:p>
          <w:p>
            <w:pPr>
              <w:pStyle w:val="Style24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61" w:leader="none"/>
                <w:tab w:val="left" w:pos="1926" w:leader="none"/>
                <w:tab w:val="left" w:pos="3387" w:leader="none"/>
                <w:tab w:val="left" w:pos="3865" w:leader="none"/>
                <w:tab w:val="left" w:pos="4528" w:leader="none"/>
                <w:tab w:val="left" w:pos="5568" w:leader="none"/>
                <w:tab w:val="left" w:pos="5774" w:leader="none"/>
                <w:tab w:val="left" w:pos="7571" w:leader="none"/>
                <w:tab w:val="left" w:pos="8182" w:leader="none"/>
                <w:tab w:val="left" w:pos="8321" w:leader="none"/>
                <w:tab w:val="left" w:pos="9688" w:leader="none"/>
              </w:tabs>
              <w:spacing w:before="67" w:after="0"/>
              <w:jc w:val="left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заверенный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перевод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на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русский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язык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документов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4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государственной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регистрации юридического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лица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соответствии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законодательством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иностранного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государства в случае, если застройщиком является иностранное юридическое лицо</w:t>
            </w:r>
          </w:p>
          <w:p>
            <w:pPr>
              <w:pStyle w:val="Style24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61" w:leader="none"/>
                <w:tab w:val="left" w:pos="1926" w:leader="none"/>
                <w:tab w:val="left" w:pos="3387" w:leader="none"/>
                <w:tab w:val="left" w:pos="3865" w:leader="none"/>
                <w:tab w:val="left" w:pos="4528" w:leader="none"/>
                <w:tab w:val="left" w:pos="5568" w:leader="none"/>
                <w:tab w:val="left" w:pos="5774" w:leader="none"/>
                <w:tab w:val="left" w:pos="7571" w:leader="none"/>
                <w:tab w:val="left" w:pos="8182" w:leader="none"/>
                <w:tab w:val="left" w:pos="8321" w:leader="none"/>
                <w:tab w:val="left" w:pos="9688" w:leader="none"/>
              </w:tabs>
              <w:spacing w:before="67" w:after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описание внешнего облика объекта индивидуального  жилищного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строительства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садового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дома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случае,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если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строительство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ил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и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реконструкция объекта индивидуального жилищного строительства или садового дома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планируется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границах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территории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исторического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поселения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федерального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5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регионального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значения,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за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29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исключением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случая,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предусмотренного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частью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3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5 статьи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51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vertAlign w:val="superscript"/>
              </w:rPr>
              <w:t>1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Градостроительного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кодекса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Российской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Федерации</w:t>
            </w:r>
          </w:p>
          <w:p>
            <w:pPr>
              <w:pStyle w:val="Style24"/>
              <w:widowControl w:val="false"/>
              <w:tabs>
                <w:tab w:val="clear" w:pos="708"/>
                <w:tab w:val="left" w:pos="1461" w:leader="none"/>
                <w:tab w:val="left" w:pos="1926" w:leader="none"/>
                <w:tab w:val="left" w:pos="3387" w:leader="none"/>
                <w:tab w:val="left" w:pos="3865" w:leader="none"/>
                <w:tab w:val="left" w:pos="4528" w:leader="none"/>
                <w:tab w:val="left" w:pos="5568" w:leader="none"/>
                <w:tab w:val="left" w:pos="5774" w:leader="none"/>
                <w:tab w:val="left" w:pos="7571" w:leader="none"/>
                <w:tab w:val="left" w:pos="8182" w:leader="none"/>
                <w:tab w:val="left" w:pos="8321" w:leader="none"/>
                <w:tab w:val="left" w:pos="9688" w:leader="none"/>
              </w:tabs>
              <w:spacing w:before="67" w:after="0"/>
              <w:ind w:right="223" w:hanging="0"/>
              <w:jc w:val="left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878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before="1" w:after="0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сведения из Единого государственного реестра недвижимости об основных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характеристиках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 зарегистрированных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правах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на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земельный участок;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сведения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из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Единого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государственного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реестра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юридических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лиц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(при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обращении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застройщика,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являющегося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юридическим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лицом)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или</w:t>
            </w:r>
            <w:r>
              <w:rPr>
                <w:rFonts w:ascii="Arial" w:hAnsi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из</w:t>
            </w:r>
            <w:r>
              <w:rPr>
                <w:rFonts w:ascii="Arial" w:hAnsi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Единого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реестра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предпринимателей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(при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обращении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застройщика,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являющегося индивидуальным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предпринимателем);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spacing w:before="0" w:after="140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уведомление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органа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исполнительной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власти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субъекта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Федерации, уполномоченного в области охраны объектов культурного наследия 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соответствии или несоответствии указанного описания внешнего облика объекта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индивидуального жилищного строительства или садового дома предмету охраны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исторического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поселения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требованиям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к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архитектурным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решениям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объектов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капитального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строительства</w:t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уведомление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указанных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уведомлении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планируемом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строительстве параметров объекта индивидуального жилищного строительства 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садового дома установленным параметрам и допустимости размещения объекта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индивидуального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жилищного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строительства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или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садового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дома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на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земельном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участке</w:t>
            </w:r>
          </w:p>
          <w:p>
            <w:pPr>
              <w:pStyle w:val="Style24"/>
              <w:widowControl w:val="false"/>
              <w:numPr>
                <w:ilvl w:val="0"/>
                <w:numId w:val="3"/>
              </w:numPr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уведомление о несоответствии в случае наличия оснований, указанных в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пункте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2.20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настоящего Административного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регламента.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ind w:left="217" w:right="222" w:firstLine="707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не более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рабочих дней со дня поступления уведомления о планируемом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строительстве, уведомления об изменении параметров в Уполномоченный орган, за</w:t>
            </w:r>
            <w:r>
              <w:rPr>
                <w:rFonts w:ascii="Arial" w:hAnsi="Arial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исключением случая, предусмотренного частью 8 статьи 51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 xml:space="preserve"> Градостроительного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кодекса</w:t>
            </w:r>
            <w:r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Российской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Федерации;</w:t>
            </w:r>
          </w:p>
          <w:p>
            <w:pPr>
              <w:pStyle w:val="Style24"/>
              <w:widowControl w:val="false"/>
              <w:spacing w:before="1" w:after="0"/>
              <w:ind w:left="217" w:right="227" w:firstLine="707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не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более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color w:val="auto"/>
                <w:spacing w:val="1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рабочих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дней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со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дня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поступления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уведомления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планируемом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строительстве,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уведомления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об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изменении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параметров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в Уполномоченный</w:t>
              <w:tab/>
              <w:t>орган,</w:t>
              <w:tab/>
              <w:t>в случае,</w:t>
              <w:tab/>
              <w:t>предусмотренном</w:t>
              <w:tab/>
              <w:t>частью</w:t>
              <w:tab/>
              <w:t>8</w:t>
              <w:tab/>
              <w:t>статьи</w:t>
              <w:tab/>
              <w:t>51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Градостроительного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кодекса Российской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Федерации.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Отсутствует документ удостоверяющий личность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557" w:leader="none"/>
              </w:tabs>
              <w:spacing w:lineRule="exact" w:line="322" w:before="1" w:after="0"/>
              <w:ind w:left="217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Предоставление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услуги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осуществляется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без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взимания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платы.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 xml:space="preserve">Постановление Администрации Мокроусовского муниципального округа от 29 ноября 2022 года № 299 Об утверждении административного регламента предоставления государственной (муниципальной) услуги </w:t>
            </w: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 земельном участке» на территории Мокроусовского муниципального округа.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4"/>
                <w:szCs w:val="24"/>
              </w:rPr>
              <w:t>исп. Галюкова Алла Аркадьевна</w:t>
            </w:r>
          </w:p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eastAsia="Calibri" w:ascii="Arial" w:hAnsi="Arial"/>
                <w:b w:val="false"/>
                <w:sz w:val="24"/>
                <w:szCs w:val="24"/>
                <w:lang w:eastAsia="en-US"/>
              </w:rPr>
              <w:t>тел. 8/35234/ 9-79-34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yle20">
    <w:name w:val="Основной шрифт абзаца"/>
    <w:qFormat/>
    <w:rPr/>
  </w:style>
  <w:style w:type="character" w:styleId="Style21">
    <w:name w:val="Выделение жирным"/>
    <w:basedOn w:val="Style20"/>
    <w:qFormat/>
    <w:rPr>
      <w:rFonts w:cs="Times New Roman"/>
      <w:b/>
      <w:bCs/>
    </w:rPr>
  </w:style>
  <w:style w:type="character" w:styleId="Style22">
    <w:name w:val="Символ нумерации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8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LibreOffice/7.0.4.2$Windows_X86_64 LibreOffice_project/dcf040e67528d9187c66b2379df5ea4407429775</Application>
  <AppVersion>15.0000</AppVersion>
  <Pages>3</Pages>
  <Words>488</Words>
  <Characters>3926</Characters>
  <CharactersWithSpaces>4366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2025-04-07T10:52:14Z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