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6"/>
        <w:gridCol w:w="12906"/>
      </w:tblGrid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left="0" w:firstLine="709"/>
              <w:jc w:val="center"/>
              <w:rPr>
                <w:rFonts w:ascii="Arial" w:hAnsi="Arial" w:eastAsia="Calibri" w:cs="Times New Roman"/>
                <w:b w:val="false"/>
                <w:b w:val="false"/>
                <w:bCs w:val="false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FFFFFF" w:val="clear"/>
                <w:lang w:eastAsia="en-US"/>
              </w:rPr>
              <w:t>«</w:t>
            </w:r>
            <w:r>
              <w:rPr>
                <w:rFonts w:eastAsia="Calibri" w:cs="Times New Roman" w:ascii="Arial" w:hAnsi="Arial"/>
                <w:b w:val="false"/>
                <w:bCs/>
                <w:color w:val="000000"/>
                <w:sz w:val="22"/>
                <w:szCs w:val="22"/>
                <w:shd w:fill="FFFFFF" w:val="clear"/>
                <w:lang w:eastAsia="en-US"/>
              </w:rPr>
              <w:t>Выдача разрешения на ввод объекта в эксплуатацию</w:t>
            </w:r>
            <w:r>
              <w:rPr>
                <w:rFonts w:eastAsia="Calibri" w:cs="Times New Roman" w:ascii="Arial" w:hAnsi="Arial"/>
                <w:b w:val="false"/>
                <w:bCs w:val="false"/>
                <w:color w:val="000000"/>
                <w:sz w:val="22"/>
                <w:szCs w:val="22"/>
                <w:shd w:fill="FFFFFF" w:val="clear"/>
                <w:lang w:eastAsia="en-US"/>
              </w:rPr>
              <w:t>»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ind w:firstLine="709"/>
              <w:jc w:val="center"/>
              <w:rPr/>
            </w:pPr>
            <w:r>
              <w:rPr>
                <w:rStyle w:val="S5"/>
                <w:rFonts w:eastAsia="Times New Roman" w:cs="Calibri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Администрацией Мокроусовского муниципального округа в лице отдела архитектуры и строительства Администрации Мокроусовского муниципального района.</w:t>
            </w:r>
          </w:p>
        </w:tc>
      </w:tr>
      <w:tr>
        <w:trPr>
          <w:trHeight w:val="589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425" w:leader="none"/>
              </w:tabs>
              <w:spacing w:lineRule="auto" w:line="240" w:before="0" w:after="0"/>
              <w:ind w:left="0" w:firstLine="709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</w:rPr>
              <w:t>Застройщики</w:t>
            </w:r>
            <w:r>
              <w:rPr>
                <w:rFonts w:cs="Arial" w:ascii="Arial" w:hAnsi="Arial"/>
                <w:b w:val="false"/>
                <w:bCs w:val="false"/>
                <w:color w:val="000000" w:themeColor="text1"/>
                <w:sz w:val="22"/>
                <w:szCs w:val="22"/>
                <w:shd w:fill="FFFFFF" w:val="clear"/>
              </w:rPr>
              <w:t xml:space="preserve">  </w:t>
            </w:r>
            <w:r>
              <w:rPr>
                <w:rFonts w:cs="Arial" w:ascii="Arial" w:hAnsi="Arial"/>
                <w:b w:val="false"/>
                <w:bCs w:val="false"/>
                <w:color w:val="000000" w:themeColor="text1"/>
                <w:sz w:val="22"/>
                <w:szCs w:val="22"/>
                <w:shd w:fill="FFFFFF" w:val="clear"/>
              </w:rPr>
              <w:t>(физические,  юридические лица)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425" w:leader="none"/>
              </w:tabs>
              <w:spacing w:lineRule="auto" w:line="240" w:before="0" w:after="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Заявитель вправе обратиться за получением услуги через представителя по доверенности</w:t>
            </w:r>
          </w:p>
        </w:tc>
      </w:tr>
      <w:tr>
        <w:trPr>
          <w:trHeight w:val="681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425" w:leader="none"/>
              </w:tabs>
              <w:spacing w:lineRule="auto" w:line="24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Calibri" w:ascii="Arial" w:hAnsi="Arial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Отдел архитектуры и строительства Администрации Мокроусовского муниципального района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Физические, юридические лица.</w:t>
            </w:r>
          </w:p>
          <w:p>
            <w:pPr>
              <w:pStyle w:val="NormalWeb"/>
              <w:widowControl w:val="false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Представители по доверенности.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заявление о выдаче разрешения на ввод объекта в эксплуатацию по форме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lang w:eastAsia="en-US"/>
              </w:rPr>
              <w:t>документ, удостоверяющий личность заявителя или представителя заявителя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en-US"/>
              </w:rPr>
              <w:t xml:space="preserve">3.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lang w:eastAsia="en-US"/>
              </w:rPr>
              <w:t>документ, подтверждающий полномочия представителя заявителя действовать от имени заявителя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en-US"/>
              </w:rPr>
              <w:t xml:space="preserve">4.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lang w:eastAsia="en-US"/>
              </w:rPr>
      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en-US"/>
              </w:rPr>
              <w:t xml:space="preserve">5.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lang w:eastAsia="en-US"/>
              </w:rPr>
              <w:t>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      </w:r>
          </w:p>
        </w:tc>
      </w:tr>
      <w:tr>
        <w:trPr/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градостроительный план земельного 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3. 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разрешение на строительство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4. 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акт приемки объекта капитального строительства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5. 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акт, подтверждающий соответствие параметров построенного, реконструированного объекта капитального строительства проектной документации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6. 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7. 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8. 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заключение органа государственного строительного надзора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9. 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 xml:space="preserve">10. 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</w:t>
            </w:r>
          </w:p>
        </w:tc>
      </w:tr>
      <w:tr>
        <w:trPr>
          <w:trHeight w:val="2228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lang w:eastAsia="en-US"/>
              </w:rPr>
      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б) решение об отказе в выдаче разрешения на ввод объекта в эксплуатацию при наличии оснований, указанных в пункте 2.22 настоящего Административного регламента.</w:t>
            </w:r>
          </w:p>
        </w:tc>
      </w:tr>
      <w:tr>
        <w:trPr>
          <w:trHeight w:val="635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5 рабочих дней</w:t>
            </w:r>
          </w:p>
        </w:tc>
      </w:tr>
      <w:tr>
        <w:trPr>
          <w:trHeight w:val="735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Нет </w:t>
            </w:r>
          </w:p>
        </w:tc>
      </w:tr>
      <w:tr>
        <w:trPr>
          <w:trHeight w:val="381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  <w:lang w:eastAsia="en-US"/>
              </w:rPr>
              <w:t>Предоставление услуги осуществляется без взимания платы</w:t>
            </w:r>
          </w:p>
        </w:tc>
      </w:tr>
      <w:tr>
        <w:trPr>
          <w:trHeight w:val="1256" w:hRule="atLeast"/>
        </w:trPr>
        <w:tc>
          <w:tcPr>
            <w:tcW w:w="2456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Постановление Администрации Мокроусовского муниципального округа от 05 декабря 2022 года № 315 Об утверждении Административного регламента предоставления Администрацией Мокроусовского района муниципальной услуги «Выдача разрешения на ввод объекта в эксплуатацию» на территории Мокроусовского муниципального округа Курганской области.</w:t>
            </w:r>
          </w:p>
        </w:tc>
      </w:tr>
      <w:tr>
        <w:trPr>
          <w:trHeight w:val="1256" w:hRule="atLeast"/>
        </w:trPr>
        <w:tc>
          <w:tcPr>
            <w:tcW w:w="2456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1"/>
                <w:szCs w:val="21"/>
                <w:lang w:eastAsia="ru-RU"/>
              </w:rPr>
            </w:r>
          </w:p>
        </w:tc>
        <w:tc>
          <w:tcPr>
            <w:tcW w:w="1290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Alsta"/>
              <w:widowControl w:val="false"/>
              <w:spacing w:lineRule="atLeast" w:line="240" w:beforeAutospacing="0" w:before="0" w:afterAutospacing="0" w:after="0"/>
              <w:jc w:val="center"/>
              <w:rPr/>
            </w:pP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 xml:space="preserve">исп. Галюкова </w:t>
            </w:r>
            <w:r>
              <w:rPr>
                <w:rStyle w:val="Strong"/>
                <w:rFonts w:eastAsia="Calibri" w:cs="" w:ascii="Arial" w:hAnsi="Arial"/>
                <w:b w:val="false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Алла Аркадьевна</w:t>
            </w:r>
          </w:p>
          <w:p>
            <w:pPr>
              <w:pStyle w:val="Alsta"/>
              <w:widowControl w:val="false"/>
              <w:spacing w:lineRule="atLeast" w:line="240" w:beforeAutospacing="0" w:before="0" w:afterAutospacing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 xml:space="preserve">тел. </w:t>
            </w: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 xml:space="preserve">8/35234/ </w:t>
            </w: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>9-79-34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Alsta">
    <w:name w:val="alsta"/>
    <w:basedOn w:val="Normal"/>
    <w:qFormat/>
    <w:pPr>
      <w:spacing w:beforeAutospacing="1" w:afterAutospacing="1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LibreOffice/7.0.4.2$Windows_X86_64 LibreOffice_project/dcf040e67528d9187c66b2379df5ea4407429775</Application>
  <AppVersion>15.0000</AppVersion>
  <Pages>2</Pages>
  <Words>407</Words>
  <Characters>3329</Characters>
  <CharactersWithSpaces>3699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2025-04-01T14:28:39Z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