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5"/>
        <w:gridCol w:w="12587"/>
      </w:tblGrid>
      <w:tr>
        <w:trPr/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58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keepNext w:val="true"/>
              <w:widowControl w:val="false"/>
              <w:suppressAutoHyphens w:val="false"/>
              <w:spacing w:lineRule="auto" w:line="276" w:beforeAutospacing="1" w:after="0"/>
              <w:ind w:left="-709" w:firstLine="36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shd w:fill="auto" w:val="clear"/>
              </w:rPr>
              <w:t>Выдача разрешения на установку и эксплуатацию рекламной конструкции, аннулирование такого разрешения</w:t>
            </w:r>
          </w:p>
        </w:tc>
      </w:tr>
      <w:tr>
        <w:trPr/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  <w:shd w:fill="auto" w:val="clear"/>
              </w:rPr>
              <w:t>Администрация Мокроусовского муниципального округа Курганской области</w:t>
            </w:r>
          </w:p>
        </w:tc>
      </w:tr>
      <w:tr>
        <w:trPr>
          <w:trHeight w:val="492" w:hRule="atLeast"/>
        </w:trPr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</w:tabs>
              <w:spacing w:lineRule="auto" w:line="240" w:before="0" w:after="200"/>
              <w:ind w:right="282" w:hanging="0"/>
              <w:jc w:val="center"/>
              <w:rPr>
                <w:rFonts w:ascii="Arial" w:hAnsi="Arial" w:eastAsia="Calibri" w:cs="PT Astra Serif"/>
                <w:b w:val="false"/>
                <w:b w:val="false"/>
                <w:bCs w:val="false"/>
                <w:sz w:val="22"/>
                <w:szCs w:val="22"/>
                <w:shd w:fill="auto" w:val="clear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Отдел архитектуры и строительства Администраци</w:t>
            </w:r>
            <w:r>
              <w:rPr>
                <w:rFonts w:eastAsia="Calibri"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>и</w:t>
            </w:r>
            <w:r>
              <w:rPr>
                <w:rFonts w:eastAsia="Calibri" w:cs="PT Astra Serif" w:ascii="Arial" w:hAnsi="Arial"/>
                <w:b w:val="false"/>
                <w:bCs w:val="false"/>
                <w:sz w:val="22"/>
                <w:szCs w:val="22"/>
                <w:shd w:fill="auto" w:val="clear"/>
              </w:rPr>
              <w:t xml:space="preserve"> Мокроусовского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uppressAutoHyphens w:val="true"/>
              <w:bidi w:val="0"/>
              <w:spacing w:lineRule="auto" w:line="276" w:before="0" w:after="0"/>
              <w:ind w:left="0" w:right="0" w:hanging="0"/>
              <w:jc w:val="center"/>
              <w:outlineLvl w:val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Ф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>изические и юридические лица</w:t>
            </w:r>
          </w:p>
        </w:tc>
      </w:tr>
      <w:tr>
        <w:trPr/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uppressAutoHyphens w:val="true"/>
              <w:bidi w:val="0"/>
              <w:spacing w:lineRule="auto" w:line="276" w:before="0" w:after="0"/>
              <w:ind w:left="0" w:right="0" w:firstLine="113"/>
              <w:jc w:val="center"/>
              <w:outlineLvl w:val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Ф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>изические и юридические лица, индивидуальные предприниматели, являющиеся собственниками или иными законными владельцами соответствующего недвижимого имущества, к которому присоединяется рекламная конструкция, либо владельцы рекламных конструкций.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301" w:leader="none"/>
              </w:tabs>
              <w:suppressAutoHyphens w:val="true"/>
              <w:bidi w:val="0"/>
              <w:spacing w:lineRule="auto" w:line="276" w:before="0" w:after="0"/>
              <w:ind w:left="0" w:right="0" w:firstLine="170"/>
              <w:jc w:val="both"/>
              <w:outlineLvl w:val="0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 xml:space="preserve">От имени заявителей обращаться за предоставлением муниципальной услуги имеют право уполномоченные ими лица на основании доверенностей, оформленных в порядке, установленном действующим законодательством, а также официальные представители юридических лиц (руководители, в установленных случаях – учредители) </w:t>
            </w:r>
          </w:p>
        </w:tc>
      </w:tr>
      <w:tr>
        <w:trPr/>
        <w:tc>
          <w:tcPr>
            <w:tcW w:w="2775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1. Выдача  разрешения</w:t>
            </w:r>
          </w:p>
          <w:p>
            <w:pPr>
              <w:pStyle w:val="Normal"/>
              <w:widowControl w:val="false"/>
              <w:spacing w:before="0" w:after="200"/>
              <w:jc w:val="left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2. Аннулирование разрешения</w:t>
            </w:r>
          </w:p>
        </w:tc>
      </w:tr>
      <w:tr>
        <w:trPr/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-737" w:right="0" w:firstLine="1020"/>
              <w:jc w:val="center"/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 xml:space="preserve">1. </w:t>
            </w: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>заявление о выдаче разрешения на установку и эксплуатацию рекламной конструкции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227" w:right="0" w:hanging="0"/>
              <w:jc w:val="center"/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 xml:space="preserve">2. </w:t>
            </w: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>уведомление в письменной форме от владельца рекламной конструкции о своем отказе от дальнейшего использования разрешения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-737" w:right="0" w:firstLine="1247"/>
              <w:jc w:val="center"/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 xml:space="preserve">3. </w:t>
            </w: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>документ, удостоверяющий личность и полномочия представителя заявителя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113" w:right="0" w:firstLine="1247"/>
              <w:jc w:val="center"/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 xml:space="preserve">4. </w:t>
            </w: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>согласи</w:t>
            </w: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>е</w:t>
            </w: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 xml:space="preserve"> собственника или иного указанного в частях 5, 6, 7 статьи 19 Федерального закона от 13 марта 2006 года № 38-ФЗ «О рекламе» (далее – Федеральный закон № 38-ФЗ)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170" w:right="0" w:firstLine="1191"/>
              <w:jc w:val="center"/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 xml:space="preserve">5. </w:t>
            </w: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 xml:space="preserve">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</w:t>
            </w: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>(</w:t>
            </w:r>
            <w:r>
              <w:rPr>
                <w:rFonts w:ascii="Arial" w:hAnsi="Arial"/>
                <w:sz w:val="22"/>
                <w:szCs w:val="22"/>
                <w:u w:val="none"/>
                <w:shd w:fill="FFFF00" w:val="clear"/>
              </w:rPr>
              <w:t>В случае</w:t>
            </w: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  <w:t xml:space="preserve"> если для установки и эксплуатации рекламной конструкции необходимо использование общего имущества собственников помещений в многоквартирном доме)</w:t>
            </w:r>
          </w:p>
          <w:p>
            <w:pPr>
              <w:pStyle w:val="Normal"/>
              <w:widowControl w:val="false"/>
              <w:spacing w:lineRule="auto" w:line="276" w:before="0" w:after="200"/>
              <w:ind w:left="-709" w:firstLine="360"/>
              <w:jc w:val="center"/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u w:val="none"/>
                <w:shd w:fill="auto" w:val="clear"/>
              </w:rPr>
            </w:r>
          </w:p>
        </w:tc>
      </w:tr>
      <w:tr>
        <w:trPr/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- Выписка из ЕГРЮЛ, ЕГРИП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- </w:t>
            </w: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>С</w:t>
            </w: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>ведения о наличии согласия собственника соответствующего недвижимого имущества на присоединение к этому имуществу рекламной конструкции (в случае если соответствующее недвижимое имущество находится в государственной или муниципальной собственности)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- Выписка из ЕГРН на недвижимое имущество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- Дизайн - проект средства распространения наружной рекламы в масштабе, цвете с привязкой к месту размещения и эскиз изображения, размещаемого на информационном поле, в масштабе и цвете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 xml:space="preserve">- Договор с собственником земельного участка </w:t>
            </w:r>
            <w:r>
              <w:rPr>
                <w:rFonts w:cs="Times New Roman" w:ascii="Arial" w:hAnsi="Arial"/>
                <w:bCs/>
                <w:color w:val="000000"/>
                <w:spacing w:val="3"/>
                <w:sz w:val="22"/>
                <w:szCs w:val="22"/>
                <w:shd w:fill="FFFFFF" w:val="clear"/>
              </w:rPr>
              <w:t>иного </w:t>
            </w:r>
            <w:r>
              <w:rPr>
                <w:rFonts w:cs="Times New Roman" w:ascii="Arial" w:hAnsi="Arial"/>
                <w:bCs/>
                <w:color w:val="000000"/>
                <w:spacing w:val="3"/>
                <w:sz w:val="22"/>
                <w:szCs w:val="22"/>
                <w:shd w:fill="auto" w:val="clear"/>
              </w:rPr>
              <w:t>недвижимого имущества</w:t>
            </w:r>
            <w:r>
              <w:rPr>
                <w:rFonts w:cs="Times New Roman" w:ascii="Arial" w:hAnsi="Arial"/>
                <w:bCs/>
                <w:color w:val="000000"/>
                <w:spacing w:val="3"/>
                <w:sz w:val="22"/>
                <w:szCs w:val="22"/>
                <w:shd w:fill="FFFFFF" w:val="clear"/>
              </w:rPr>
              <w:t>, к которому присоединяется рекламная конструкция, либо с лицом, управомоченным собственником такого </w:t>
            </w:r>
            <w:hyperlink r:id="rId2">
              <w:r>
                <w:rPr>
                  <w:rFonts w:cs="Times New Roman" w:ascii="Arial" w:hAnsi="Arial"/>
                  <w:bCs/>
                  <w:color w:val="000000"/>
                  <w:spacing w:val="3"/>
                  <w:sz w:val="22"/>
                  <w:szCs w:val="22"/>
                  <w:shd w:fill="auto" w:val="clear"/>
                </w:rPr>
                <w:t>имущества</w:t>
              </w:r>
            </w:hyperlink>
            <w:r>
              <w:rPr>
                <w:rFonts w:cs="Times New Roman" w:ascii="Arial" w:hAnsi="Arial"/>
                <w:bCs/>
                <w:color w:val="000000"/>
                <w:spacing w:val="3"/>
                <w:sz w:val="22"/>
                <w:szCs w:val="22"/>
                <w:shd w:fill="FFFFFF" w:val="clear"/>
              </w:rPr>
              <w:t xml:space="preserve">, в том числе с арендатором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Times New Roman" w:ascii="Arial" w:hAnsi="Arial"/>
                <w:bCs/>
                <w:color w:val="000000"/>
                <w:spacing w:val="3"/>
                <w:sz w:val="22"/>
                <w:szCs w:val="22"/>
                <w:shd w:fill="FFFFFF" w:val="clear"/>
              </w:rPr>
              <w:t>- В случае,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заключение договора на установку и эксплуатацию рекламной конструкции возможно только при наличии согласия собственников помещений в многоквартирном доме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ind w:left="567" w:right="0" w:hanging="0"/>
              <w:jc w:val="both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  <w:t>Указанные документы запрашиваются Администрацией Мокроусовского муниципального округа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PT Astra Serif"/>
                <w:bCs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PT Astra Serif" w:ascii="Arial" w:hAnsi="Arial"/>
                <w:bCs/>
                <w:color w:val="000000"/>
                <w:sz w:val="22"/>
                <w:szCs w:val="22"/>
                <w:shd w:fill="auto" w:val="clear"/>
              </w:rPr>
            </w:r>
          </w:p>
        </w:tc>
      </w:tr>
      <w:tr>
        <w:trPr/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uppressAutoHyphens w:val="true"/>
              <w:bidi w:val="0"/>
              <w:spacing w:lineRule="auto" w:line="276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выдача разрешения на установку и эксплуатацию рекламной конструкции (приложение 2 к настоящему административному регламенту);</w:t>
            </w:r>
          </w:p>
          <w:p>
            <w:pPr>
              <w:pStyle w:val="Normal"/>
              <w:suppressAutoHyphens w:val="true"/>
              <w:bidi w:val="0"/>
              <w:spacing w:lineRule="auto" w:line="276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- мотивированный отказ в выдаче разрешения на установку и эксплуатацию рекламной конструкции;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134" w:leader="none"/>
              </w:tabs>
              <w:suppressAutoHyphens w:val="true"/>
              <w:bidi w:val="0"/>
              <w:spacing w:lineRule="auto" w:line="276" w:before="0" w:after="0"/>
              <w:ind w:left="0" w:right="0" w:hanging="0"/>
              <w:contextualSpacing/>
              <w:jc w:val="both"/>
              <w:outlineLvl w:val="2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shd w:fill="auto" w:val="clear"/>
              </w:rPr>
              <w:t xml:space="preserve">- аннулирование разрешения на установку и эксплуатацию рекламной конструкции. </w:t>
            </w:r>
          </w:p>
        </w:tc>
      </w:tr>
      <w:tr>
        <w:trPr/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bidi w:val="0"/>
              <w:spacing w:lineRule="auto" w:line="276" w:beforeAutospacing="1" w:after="0"/>
              <w:ind w:left="-737" w:right="0" w:firstLine="850"/>
              <w:jc w:val="both"/>
              <w:rPr>
                <w:rFonts w:ascii="Arial" w:hAnsi="Arial"/>
                <w:sz w:val="22"/>
                <w:szCs w:val="22"/>
                <w:shd w:fill="auto" w:val="clear"/>
              </w:rPr>
            </w:pPr>
            <w:r>
              <w:rPr>
                <w:rFonts w:ascii="Arial" w:hAnsi="Arial"/>
                <w:sz w:val="22"/>
                <w:szCs w:val="22"/>
                <w:shd w:fill="auto" w:val="clear"/>
              </w:rPr>
              <w:t>в течение двух месяцев со дня приема от заявителя (представителя) заявления и необходимых документов</w:t>
            </w:r>
          </w:p>
        </w:tc>
      </w:tr>
      <w:tr>
        <w:trPr/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jc w:val="center"/>
              <w:rPr>
                <w:rFonts w:ascii="Arial" w:hAnsi="Arial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</w:rPr>
              <w:t>Отсутствие  документа удостоверяющего личность</w:t>
            </w:r>
          </w:p>
        </w:tc>
      </w:tr>
      <w:tr>
        <w:trPr>
          <w:trHeight w:val="523" w:hRule="atLeast"/>
        </w:trPr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370" w:leader="none"/>
              </w:tabs>
              <w:suppressAutoHyphens w:val="true"/>
              <w:bidi w:val="0"/>
              <w:spacing w:lineRule="auto" w:line="276" w:before="0" w:after="0"/>
              <w:ind w:left="0" w:right="0" w:firstLine="1020"/>
              <w:jc w:val="both"/>
              <w:rPr/>
            </w:pPr>
            <w:r>
              <w:rPr>
                <w:rFonts w:cs="PT Astra Serif" w:ascii="Arial" w:hAnsi="Arial"/>
                <w:bCs/>
                <w:sz w:val="22"/>
                <w:szCs w:val="22"/>
                <w:shd w:fill="auto" w:val="clear"/>
              </w:rPr>
              <w:t>В</w:t>
            </w:r>
            <w:r>
              <w:rPr>
                <w:rFonts w:cs="PT Astra Serif" w:ascii="Arial" w:hAnsi="Arial"/>
                <w:bCs/>
                <w:sz w:val="22"/>
                <w:szCs w:val="22"/>
                <w:shd w:fill="auto" w:val="clear"/>
              </w:rPr>
              <w:t xml:space="preserve"> соответствии с решением Мокроусовской районной Думы от 24 августа 2012 года № 59 «Об утверждении перечня услуг, которые являются необходимыми и обязательными для предоставления муниципальных услуг, и порядка определения размера платы за их оказание». </w:t>
            </w:r>
            <w:r>
              <w:rPr>
                <w:rFonts w:cs="PT Astra Serif" w:ascii="Arial" w:hAnsi="Arial"/>
                <w:bCs/>
                <w:sz w:val="22"/>
                <w:szCs w:val="22"/>
                <w:shd w:fill="auto" w:val="clear"/>
              </w:rPr>
              <w:t>(</w:t>
            </w:r>
            <w:r>
              <w:rPr>
                <w:lang w:val="ru-RU"/>
              </w:rPr>
              <w:t xml:space="preserve">В соответствии с подпунктом 105 пункта 1 статьи 333.33 Налогового кодекса Российской Федерации за выдачу разрешения на установку рекламной конструкции взимается государственная пошлина в размере </w:t>
            </w:r>
            <w:r>
              <w:rPr>
                <w:b/>
                <w:lang w:val="ru-RU"/>
              </w:rPr>
              <w:t>5000 (пять тысяч) рублей</w:t>
            </w:r>
            <w:r>
              <w:rPr>
                <w:lang w:val="ru-RU"/>
              </w:rPr>
              <w:t>.</w:t>
            </w:r>
            <w:r>
              <w:rPr/>
              <w:t xml:space="preserve"> </w:t>
            </w:r>
            <w:r>
              <w:rPr>
                <w:rFonts w:cs="PT Astra Serif" w:ascii="Arial" w:hAnsi="Arial"/>
                <w:bCs/>
                <w:sz w:val="22"/>
                <w:szCs w:val="22"/>
                <w:shd w:fill="auto" w:val="clear"/>
              </w:rPr>
              <w:t>)</w:t>
            </w:r>
          </w:p>
        </w:tc>
      </w:tr>
      <w:tr>
        <w:trPr>
          <w:trHeight w:val="1090" w:hRule="atLeast"/>
        </w:trPr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 w:val="false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shd w:fill="auto" w:val="clear"/>
                <w:lang w:eastAsia="ru-RU"/>
              </w:rPr>
              <w:t>30 рабочих дней</w:t>
            </w:r>
          </w:p>
        </w:tc>
      </w:tr>
      <w:tr>
        <w:trPr/>
        <w:tc>
          <w:tcPr>
            <w:tcW w:w="277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jc w:val="center"/>
              <w:rPr>
                <w:rFonts w:ascii="Arial" w:hAnsi="Arial" w:cs="Times New Roman"/>
                <w:b/>
                <w:b/>
                <w:bCs/>
                <w:i/>
                <w:i/>
                <w:iCs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cs="Times New Roman" w:ascii="Arial" w:hAnsi="Arial"/>
                <w:b/>
                <w:bCs/>
                <w:i/>
                <w:iCs/>
                <w:sz w:val="22"/>
                <w:szCs w:val="22"/>
                <w:shd w:fill="auto" w:val="clear"/>
                <w:lang w:eastAsia="en-US"/>
              </w:rPr>
              <w:t>Постановление Администрации Мокроусовского муниципального округа от 17 ноября 2022 года № 270 «Об утверждении административного регламента предоставления государственной (муниципальной) услуги «Выдача разрешения на установку и эксплуатацию рекламных конструкций, аннулирование такого разрешения».</w:t>
            </w:r>
          </w:p>
        </w:tc>
      </w:tr>
      <w:tr>
        <w:trPr/>
        <w:tc>
          <w:tcPr>
            <w:tcW w:w="2775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587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Alsta"/>
              <w:spacing w:lineRule="atLeast" w:line="240" w:beforeAutospacing="0" w:before="0" w:afterAutospacing="0" w:after="0"/>
              <w:rPr/>
            </w:pP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>исп. Галюкова А</w:t>
            </w: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 xml:space="preserve">лла </w:t>
            </w: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>А</w:t>
            </w: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>ркадьевна</w:t>
            </w: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>.</w:t>
            </w:r>
          </w:p>
          <w:p>
            <w:pPr>
              <w:pStyle w:val="Alsta"/>
              <w:spacing w:lineRule="atLeast" w:line="240" w:beforeAutospacing="0" w:before="0" w:afterAutospacing="0" w:after="0"/>
              <w:rPr/>
            </w:pP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 xml:space="preserve">тел. </w:t>
            </w: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 xml:space="preserve">8 /35234/ </w:t>
            </w:r>
            <w:r>
              <w:rPr>
                <w:rStyle w:val="Strong"/>
                <w:rFonts w:ascii="Arial" w:hAnsi="Arial"/>
                <w:b w:val="false"/>
                <w:sz w:val="22"/>
                <w:szCs w:val="22"/>
              </w:rPr>
              <w:t>9-79-34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lineRule="auto" w:line="240" w:before="0" w:after="0"/>
              <w:ind w:left="5940" w:hanging="0"/>
              <w:jc w:val="center"/>
              <w:rPr>
                <w:rFonts w:ascii="Arial" w:hAnsi="Arial" w:eastAsia="Calibri"/>
                <w:sz w:val="22"/>
                <w:szCs w:val="22"/>
                <w:shd w:fill="auto" w:val="clear"/>
                <w:lang w:eastAsia="en-US"/>
              </w:rPr>
            </w:pPr>
            <w:r>
              <w:rPr>
                <w:rFonts w:eastAsia="Calibri" w:ascii="Arial" w:hAnsi="Arial"/>
                <w:sz w:val="22"/>
                <w:szCs w:val="22"/>
                <w:shd w:fill="auto" w:val="clear"/>
                <w:lang w:eastAsia="en-US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1">
    <w:name w:val="Body Text"/>
    <w:basedOn w:val="Normal"/>
    <w:pPr>
      <w:spacing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5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Alsta">
    <w:name w:val="alsta"/>
    <w:basedOn w:val="Normal"/>
    <w:qFormat/>
    <w:pPr>
      <w:widowControl/>
      <w:suppressAutoHyphens w:val="false"/>
      <w:spacing w:beforeAutospacing="1" w:afterAutospacing="1"/>
    </w:pPr>
    <w:rPr>
      <w:rFonts w:ascii="Times New Roman" w:hAnsi="Times New Roman" w:eastAsia="Times New Roman" w:cs="Times New Roman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os-pravo.ru/articles/imushchestvo-eto-ponyatie-i-vidy-imushchestva-v-gk-rf-i-grazhdanskom-prave-veshchi-i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Application>LibreOffice/7.0.4.2$Windows_X86_64 LibreOffice_project/dcf040e67528d9187c66b2379df5ea4407429775</Application>
  <AppVersion>15.0000</AppVersion>
  <Pages>3</Pages>
  <Words>573</Words>
  <Characters>4304</Characters>
  <CharactersWithSpaces>4848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2025-03-28T15:02:42Z</dcterms:modified>
  <cp:revision>164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