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</w:tcPr>
          <w:p>
            <w:pPr>
              <w:pStyle w:val="Normal"/>
              <w:keepNext w:val="true"/>
              <w:widowControl w:val="false"/>
              <w:tabs>
                <w:tab w:val="clear" w:pos="720"/>
                <w:tab w:val="left" w:pos="142" w:leader="none"/>
                <w:tab w:val="left" w:pos="284" w:leader="none"/>
                <w:tab w:val="left" w:pos="1134" w:leader="none"/>
              </w:tabs>
              <w:suppressAutoHyphens w:val="false"/>
              <w:spacing w:lineRule="auto" w:line="240" w:beforeAutospacing="1" w:after="0"/>
              <w:ind w:firstLine="709"/>
              <w:jc w:val="both"/>
              <w:rPr>
                <w:rFonts w:ascii="Times New Roman" w:hAnsi="Times New Roman"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right="282" w:hanging="0"/>
              <w:jc w:val="left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Администрация Мокроусовского муниципального округа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2"/>
                <w:szCs w:val="22"/>
                <w:lang w:eastAsia="en-US"/>
              </w:rPr>
              <w:t>Отдел архитектуры и строительства Администрации Мокроусовского муниципального округа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D8CE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42" w:leader="none"/>
                <w:tab w:val="left" w:pos="284" w:leader="none"/>
                <w:tab w:val="left" w:pos="1134" w:leader="none"/>
              </w:tabs>
              <w:spacing w:lineRule="exact" w:line="267" w:before="0" w:after="0"/>
              <w:ind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</w:rPr>
              <w:t>физические (юридические) лица, являющиеся собственниками (нанимателями) жилых помещений в домах, расположенных на территории соответствующего района муниципального образования, либо их уполномоченные представители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fill="B4C7DC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42" w:leader="none"/>
                <w:tab w:val="left" w:pos="284" w:leader="none"/>
                <w:tab w:val="left" w:pos="1134" w:leader="none"/>
              </w:tabs>
              <w:spacing w:lineRule="exact" w:line="267" w:before="0" w:after="0"/>
              <w:ind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физические (юридические) лица, являющиеся собственниками (нанимателями) жилых помещений в домах, расположенных на территории соответствующего района муниципального образования, либо их уполномоченные представители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34" w:leader="none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заявление о предоставлении муниципальной услуги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34" w:leader="none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документ, удостоверяющий личность заявителя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34" w:leader="none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учредительные документы </w:t>
            </w:r>
            <w:r>
              <w:rPr>
                <w:rFonts w:cs="" w:ascii="Arial" w:hAnsi="Arial" w:cstheme="minorBidi"/>
                <w:sz w:val="22"/>
                <w:szCs w:val="22"/>
                <w:shd w:fill="D4EA6B" w:val="clear"/>
              </w:rPr>
              <w:t>(при обращении юридического лица)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34" w:leader="none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документ, удостоверяющий право (полномочия) представителя физического или юридического лица, </w:t>
            </w:r>
            <w:r>
              <w:rPr>
                <w:rFonts w:cs="" w:ascii="Arial" w:hAnsi="Arial" w:cstheme="minorBidi"/>
                <w:sz w:val="22"/>
                <w:szCs w:val="22"/>
                <w:shd w:fill="D4EA6B" w:val="clear"/>
              </w:rPr>
              <w:t>если с заявлением обращается представитель заявителя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34" w:leader="none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копии правоустанавливающих документов на жилое помещение, </w:t>
            </w:r>
            <w:r>
              <w:rPr>
                <w:rFonts w:ascii="Arial" w:hAnsi="Arial"/>
                <w:sz w:val="22"/>
                <w:szCs w:val="22"/>
                <w:shd w:fill="D4EA6B" w:val="clear"/>
              </w:rPr>
              <w:t>право на которое не зарегистрировано в Едином государственном реестре недвижимости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34" w:leader="none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shd w:fill="D4EA6B" w:val="clear"/>
              </w:rPr>
              <w:t>в отношении нежилого помещения для признания его в дальнейшем жилым помещением</w:t>
            </w:r>
            <w:r>
              <w:rPr>
                <w:rFonts w:ascii="Arial" w:hAnsi="Arial"/>
                <w:sz w:val="22"/>
                <w:szCs w:val="22"/>
                <w:shd w:fill="FFFFFF" w:val="clear"/>
              </w:rPr>
              <w:t xml:space="preserve"> – проект реконструкции нежилого помещения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34" w:leader="none"/>
              </w:tabs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shd w:fill="FFFFFF" w:val="clear"/>
              </w:rPr>
              <w:t xml:space="preserve">заключение специализированной организации, проводившей обследование многоквартирного дома,– </w:t>
            </w:r>
            <w:r>
              <w:rPr>
                <w:rFonts w:ascii="Arial" w:hAnsi="Arial"/>
                <w:sz w:val="22"/>
                <w:szCs w:val="22"/>
                <w:shd w:fill="D4EA6B" w:val="clear"/>
              </w:rPr>
              <w:t>в случае постановки вопроса о признании многоквартирного дома аварийным и подлежащим сносу или реконструкции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134" w:leader="none"/>
              </w:tabs>
              <w:spacing w:before="0" w:after="20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shd w:fill="FFFFFF" w:val="clear"/>
              </w:rPr>
              <w:t xml:space="preserve">заключение проектно-изыскательской организации по результатам обследования элементов ограждающих и несущих конструкций жилого помещения – </w:t>
            </w:r>
            <w:r>
              <w:rPr>
                <w:rFonts w:ascii="Arial" w:hAnsi="Arial"/>
                <w:sz w:val="22"/>
                <w:szCs w:val="22"/>
                <w:shd w:fill="D4EA6B" w:val="clear"/>
              </w:rPr>
              <w:t>в случае, если в соответствии с абзацем третьим пункта 44 Положения № 47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134" w:leader="none"/>
              </w:tabs>
              <w:jc w:val="both"/>
              <w:rPr>
                <w:rFonts w:ascii="Arial" w:hAnsi="Arial" w:cs="PT Astra Serif"/>
                <w:bCs/>
                <w:color w:val="000000"/>
                <w:sz w:val="22"/>
                <w:szCs w:val="22"/>
              </w:rPr>
            </w:pPr>
            <w:r>
              <w:rPr>
                <w:rFonts w:cs="PT Astra Serif" w:ascii="Arial" w:hAnsi="Arial"/>
                <w:bCs/>
                <w:color w:val="000000"/>
                <w:sz w:val="22"/>
                <w:szCs w:val="22"/>
              </w:rPr>
              <w:t xml:space="preserve">заявления, письма, жалобы граждан на неудовлетворительные условия проживания – </w:t>
            </w:r>
            <w:r>
              <w:rPr>
                <w:rFonts w:cs="PT Astra Serif" w:ascii="Arial" w:hAnsi="Arial"/>
                <w:bCs/>
                <w:color w:val="000000"/>
                <w:sz w:val="22"/>
                <w:szCs w:val="22"/>
                <w:shd w:fill="D4EA6B" w:val="clear"/>
              </w:rPr>
              <w:t>по усмотрению заявителя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134" w:leader="none"/>
              </w:tabs>
              <w:jc w:val="both"/>
              <w:rPr>
                <w:rFonts w:ascii="Arial" w:hAnsi="Arial" w:cs="PT Astra Serif"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bCs/>
                <w:color w:val="000000"/>
                <w:sz w:val="22"/>
                <w:szCs w:val="22"/>
                <w:shd w:fill="auto" w:val="clear"/>
              </w:rPr>
              <w:t>сведения из Единого государственного реестра недвижимости о правах на помещение, жилой дом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134" w:leader="none"/>
              </w:tabs>
              <w:jc w:val="both"/>
              <w:rPr>
                <w:rFonts w:ascii="Arial" w:hAnsi="Arial" w:cs="PT Astra Serif"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bCs/>
                <w:color w:val="000000"/>
                <w:sz w:val="22"/>
                <w:szCs w:val="22"/>
                <w:shd w:fill="auto" w:val="clear"/>
              </w:rPr>
              <w:t>технический план жилого помещения,  для нежилых помещений - технический план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134" w:leader="none"/>
              </w:tabs>
              <w:spacing w:before="0" w:after="200"/>
              <w:jc w:val="both"/>
              <w:rPr>
                <w:rFonts w:ascii="Arial" w:hAnsi="Arial" w:cs="PT Astra Serif"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bCs/>
                <w:color w:val="000000"/>
                <w:sz w:val="22"/>
                <w:szCs w:val="22"/>
                <w:shd w:fill="auto" w:val="clear"/>
              </w:rPr>
              <w:t>заключения (акты) соответствующих органов государственного надзора (контроля) в случае, если представление указанных документов согласно п. 44 Положения № 47, является необходимым для принятия решения о признании жилого помещения непригодным для проживания.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134" w:leader="none"/>
              </w:tabs>
              <w:spacing w:lineRule="auto" w:line="240" w:before="0" w:after="0"/>
              <w:ind w:firstLine="709"/>
              <w:jc w:val="both"/>
              <w:rPr>
                <w:rFonts w:ascii="Arial" w:hAnsi="Arial" w:cs="PT Astra Serif"/>
                <w:bCs/>
                <w:sz w:val="22"/>
                <w:szCs w:val="22"/>
              </w:rPr>
            </w:pPr>
            <w:r>
              <w:rPr>
                <w:rFonts w:cs="PT Astra Serif" w:ascii="Arial" w:hAnsi="Arial"/>
                <w:bCs/>
                <w:sz w:val="22"/>
                <w:szCs w:val="22"/>
                <w:shd w:fill="D4EA6B" w:val="clear"/>
              </w:rPr>
              <w:t>В отношении помещения, многоквартирного дома: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134" w:leader="none"/>
              </w:tabs>
              <w:spacing w:lineRule="auto" w:line="240" w:before="0" w:after="0"/>
              <w:ind w:firstLine="709"/>
              <w:jc w:val="both"/>
              <w:rPr>
                <w:rFonts w:ascii="Arial" w:hAnsi="Arial" w:cs="PT Astra Serif"/>
                <w:bCs/>
                <w:sz w:val="22"/>
                <w:szCs w:val="22"/>
              </w:rPr>
            </w:pPr>
            <w:r>
              <w:rPr>
                <w:rFonts w:cs="PT Astra Serif" w:ascii="Arial" w:hAnsi="Arial"/>
                <w:bCs/>
                <w:sz w:val="22"/>
                <w:szCs w:val="22"/>
              </w:rPr>
              <w:t>Принятие решения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1134" w:leader="none"/>
              </w:tabs>
              <w:spacing w:lineRule="auto" w:line="240" w:before="0" w:after="0"/>
              <w:ind w:firstLine="709"/>
              <w:jc w:val="both"/>
              <w:rPr>
                <w:rFonts w:ascii="Arial" w:hAnsi="Arial" w:cs="PT Astra Serif"/>
                <w:bCs/>
                <w:sz w:val="22"/>
                <w:szCs w:val="22"/>
              </w:rPr>
            </w:pPr>
            <w:r>
              <w:rPr>
                <w:rFonts w:cs="PT Astra Serif" w:ascii="Arial" w:hAnsi="Arial"/>
                <w:bCs/>
                <w:sz w:val="22"/>
                <w:szCs w:val="22"/>
              </w:rPr>
              <w:t>Решени</w:t>
            </w:r>
            <w:r>
              <w:rPr>
                <w:rFonts w:cs="PT Astra Serif" w:ascii="Arial" w:hAnsi="Arial"/>
                <w:bCs/>
                <w:sz w:val="22"/>
                <w:szCs w:val="22"/>
              </w:rPr>
              <w:t>е</w:t>
            </w:r>
            <w:r>
              <w:rPr>
                <w:rFonts w:cs="PT Astra Serif" w:ascii="Arial" w:hAnsi="Arial"/>
                <w:bCs/>
                <w:sz w:val="22"/>
                <w:szCs w:val="22"/>
              </w:rPr>
              <w:t xml:space="preserve"> об отказе в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uppressAutoHyphens w:val="false"/>
              <w:spacing w:lineRule="auto" w:line="240" w:beforeAutospacing="1" w:after="0"/>
              <w:ind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Не должен превышать 20 рабочих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</w:rPr>
              <w:t>Отсутствие документа удостоверяющего личность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5"/>
              <w:widowControl w:val="false"/>
              <w:tabs>
                <w:tab w:val="clear" w:pos="720"/>
                <w:tab w:val="left" w:pos="142" w:leader="none"/>
                <w:tab w:val="left" w:pos="284" w:leader="none"/>
                <w:tab w:val="left" w:pos="1134" w:leader="none"/>
              </w:tabs>
              <w:spacing w:lineRule="auto" w:line="240" w:before="0" w:after="0"/>
              <w:ind w:firstLine="709"/>
              <w:jc w:val="both"/>
              <w:rPr>
                <w:rFonts w:ascii="Arial" w:hAnsi="Arial" w:cs="PT Astra Serif"/>
                <w:bCs/>
                <w:sz w:val="22"/>
                <w:szCs w:val="22"/>
              </w:rPr>
            </w:pPr>
            <w:r>
              <w:rPr>
                <w:rFonts w:cs="PT Astra Serif" w:ascii="Arial" w:hAnsi="Arial"/>
                <w:bCs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2"/>
                <w:szCs w:val="22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Постановление Администрации Мокроусовского муниципального округа от 26 октября 2022 года №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 xml:space="preserve">194 </w:t>
            </w:r>
            <w:r>
              <w:rPr>
                <w:rFonts w:ascii="Arial" w:hAnsi="Arial"/>
                <w:b w:val="false"/>
                <w:bCs w:val="false"/>
                <w:spacing w:val="-1"/>
                <w:sz w:val="22"/>
                <w:szCs w:val="22"/>
                <w:lang w:eastAsia="ar-SA"/>
              </w:rPr>
      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Alsta"/>
              <w:widowControl w:val="false"/>
              <w:spacing w:lineRule="atLeast" w:line="240" w:beforeAutospacing="0" w:before="0" w:afterAutospacing="0" w:after="0"/>
              <w:rPr/>
            </w:pPr>
            <w:r>
              <w:rPr>
                <w:rStyle w:val="Strong"/>
                <w:rFonts w:ascii="Arial" w:hAnsi="Arial"/>
                <w:b w:val="false"/>
                <w:sz w:val="22"/>
                <w:szCs w:val="22"/>
              </w:rPr>
              <w:t>исп. Галюкова А.А.</w:t>
            </w:r>
          </w:p>
          <w:p>
            <w:pPr>
              <w:pStyle w:val="Alsta"/>
              <w:widowControl w:val="false"/>
              <w:tabs>
                <w:tab w:val="clear" w:pos="720"/>
                <w:tab w:val="left" w:pos="7645" w:leader="none"/>
              </w:tabs>
              <w:spacing w:lineRule="atLeast" w:line="240" w:beforeAutospacing="0" w:before="0" w:afterAutospacing="0" w:after="0"/>
              <w:ind w:right="-199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rong"/>
                <w:rFonts w:ascii="Arial" w:hAnsi="Arial"/>
                <w:b w:val="false"/>
                <w:strike w:val="false"/>
                <w:dstrike w:val="false"/>
                <w:sz w:val="22"/>
                <w:szCs w:val="22"/>
                <w:u w:val="none"/>
              </w:rPr>
              <w:t>тел. 9-79-34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2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Alsta">
    <w:name w:val="alsta"/>
    <w:basedOn w:val="Normal"/>
    <w:qFormat/>
    <w:pPr>
      <w:spacing w:beforeAutospacing="1" w:afterAutospacing="1"/>
    </w:pPr>
    <w:rPr/>
  </w:style>
  <w:style w:type="paragraph" w:styleId="Style25">
    <w:name w:val="Title"/>
    <w:basedOn w:val="Normal"/>
    <w:qFormat/>
    <w:pPr>
      <w:jc w:val="center"/>
    </w:pPr>
    <w:rPr>
      <w:sz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Application>LibreOffice/7.0.4.2$Windows_X86_64 LibreOffice_project/dcf040e67528d9187c66b2379df5ea4407429775</Application>
  <AppVersion>15.0000</AppVersion>
  <Pages>3</Pages>
  <Words>386</Words>
  <Characters>3008</Characters>
  <CharactersWithSpaces>3344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2025-04-28T11:32:05Z</dcterms:modified>
  <cp:revision>160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