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true"/>
              <w:bidi w:val="0"/>
              <w:spacing w:lineRule="auto" w:line="240" w:before="0" w:after="120"/>
              <w:ind w:left="0" w:right="-57" w:firstLine="567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>"В</w:t>
            </w: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4"/>
                <w:szCs w:val="24"/>
                <w:lang w:eastAsia="ru-RU"/>
              </w:rPr>
              <w:t>ыдача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 xml:space="preserve"> акта </w:t>
            </w: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4"/>
                <w:szCs w:val="24"/>
                <w:lang w:eastAsia="ru-RU"/>
              </w:rPr>
              <w:t>освидетельствования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 xml:space="preserve"> проведения </w:t>
            </w: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4"/>
                <w:szCs w:val="24"/>
                <w:lang w:eastAsia="ru-RU"/>
              </w:rPr>
              <w:t>основных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 xml:space="preserve"> работ по с</w:t>
            </w: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4"/>
                <w:szCs w:val="24"/>
                <w:lang w:eastAsia="ru-RU"/>
              </w:rPr>
              <w:t>троительств</w:t>
            </w: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4"/>
                <w:szCs w:val="24"/>
                <w:shd w:fill="auto" w:val="clear"/>
                <w:lang w:eastAsia="ru-RU"/>
              </w:rPr>
              <w:t xml:space="preserve">у 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(реконструкции) объ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>екта индивидуального жилищного строительства с привлечением средств материнского (семейного) капитала"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ind w:left="0" w:right="0" w:firstLine="709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Мокроусовского муниципального округа Курганской области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0" w:right="0" w:firstLine="709"/>
              <w:jc w:val="both"/>
              <w:rPr>
                <w:rFonts w:ascii="Arial" w:hAnsi="Arial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ar-SA" w:bidi="ar-SA"/>
              </w:rPr>
              <w:t>Отдел архитектуры и строительства</w:t>
            </w:r>
            <w:r>
              <w:rPr>
                <w:rFonts w:eastAsia="Calibri" w:cs="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4"/>
                <w:szCs w:val="24"/>
                <w:lang w:val="ru-RU" w:eastAsia="ar-SA" w:bidi="ar-SA"/>
              </w:rPr>
              <w:t xml:space="preserve">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ar-SA" w:bidi="ar-SA"/>
              </w:rPr>
              <w:t>Администрации Мокроусовского муниципального округа: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both"/>
              <w:rPr>
                <w:rFonts w:ascii="Arial" w:hAnsi="Arial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осуществляет проверку наличия документов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проводит осмотр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осмотра могут осуществляться обмеры и обследования освидетельствуемого объекта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Arial" w:hAnsi="Arial"/>
                <w:b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составляет акт освидетельствования проведения основных работ по строительству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 xml:space="preserve">Физическое лицо, получившее государственный сертификат на материнский (семейный) капитал и осуществившее проведение основных работ по строительству объекта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ИЖС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 xml:space="preserve"> (монтаж фундамента, возведение стен и кровли) или проведение работ по реконструкции объекта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ИЖС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 xml:space="preserve">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установленную в соответствии с </w:t>
            </w:r>
            <w:r>
              <w:fldChar w:fldCharType="begin"/>
            </w:r>
            <w:r>
              <w:rPr>
                <w:sz w:val="24"/>
                <w:u w:val="single"/>
                <w:b w:val="false"/>
                <w:szCs w:val="24"/>
                <w:bCs w:val="false"/>
                <w:rFonts w:eastAsia="Times New Roman" w:cs="Times New Roman" w:ascii="Arial" w:hAnsi="Arial"/>
                <w:lang w:eastAsia="ru-RU"/>
              </w:rPr>
              <w:instrText> HYPERLINK "http://mobileonline.garant.ru/" \l "/document/10164072/entry/185"</w:instrText>
            </w:r>
            <w:r>
              <w:rPr>
                <w:sz w:val="24"/>
                <w:u w:val="single"/>
                <w:b w:val="false"/>
                <w:szCs w:val="24"/>
                <w:bCs w:val="false"/>
                <w:rFonts w:eastAsia="Times New Roman" w:cs="Times New Roman" w:ascii="Arial" w:hAnsi="Arial"/>
                <w:lang w:eastAsia="ru-RU"/>
              </w:rPr>
              <w:fldChar w:fldCharType="separate"/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u w:val="single"/>
                <w:lang w:eastAsia="ru-RU"/>
              </w:rPr>
              <w:t>законодательством</w:t>
            </w:r>
            <w:r>
              <w:rPr>
                <w:sz w:val="24"/>
                <w:u w:val="single"/>
                <w:b w:val="false"/>
                <w:szCs w:val="24"/>
                <w:bCs w:val="false"/>
                <w:rFonts w:eastAsia="Times New Roman" w:cs="Times New Roman" w:ascii="Arial" w:hAnsi="Arial"/>
                <w:lang w:eastAsia="ru-RU"/>
              </w:rPr>
              <w:fldChar w:fldCharType="end"/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 xml:space="preserve"> Российской Федерации (далее — заявитель).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567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>От имени физических лиц заявление и документы, необходимые для предоставления муниципальной услуги, могут быть предоставлены представителями заявителей, действующими в силу полномочий, основанных на доверенности, иных законных основаниях.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Заявление о выдаче акта освидетельствования</w:t>
            </w:r>
          </w:p>
          <w:p>
            <w:pPr>
              <w:pStyle w:val="Normal"/>
              <w:widowControl w:val="false"/>
              <w:spacing w:lineRule="auto" w:line="240" w:before="0" w:after="120"/>
              <w:ind w:hanging="0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Документ, удостоверяющий личность лица, обратившегося с заявлением</w:t>
            </w:r>
          </w:p>
          <w:p>
            <w:pPr>
              <w:pStyle w:val="Normal"/>
              <w:widowControl w:val="false"/>
              <w:spacing w:lineRule="auto" w:line="240" w:before="0" w:after="120"/>
              <w:ind w:hanging="0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</w:t>
            </w:r>
          </w:p>
          <w:p>
            <w:pPr>
              <w:pStyle w:val="Normal"/>
              <w:widowControl w:val="false"/>
              <w:spacing w:lineRule="auto" w:line="240" w:before="0" w:after="120"/>
              <w:ind w:hanging="0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firstLine="567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К заявлению по инициативе заявителя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      </w:r>
          </w:p>
        </w:tc>
      </w:tr>
      <w:tr>
        <w:trPr>
          <w:trHeight w:val="1266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left="0" w:right="0" w:firstLine="567"/>
              <w:jc w:val="both"/>
              <w:rPr>
                <w:rFonts w:ascii="Arial" w:hAnsi="Arial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1) утвержденный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(далее - итоговый документ);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-3400" w:leader="none"/>
              </w:tabs>
              <w:spacing w:lineRule="auto" w:line="240" w:before="0" w:after="120"/>
              <w:ind w:left="0" w:right="0" w:firstLine="567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2) письменный мотивированный отказ в предоставлении муниципальной услуги (далее - итоговый документ).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 более 10 рабочих дней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left="0" w:right="0" w:firstLine="567"/>
              <w:jc w:val="both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Мокроусовского муниципального округа от 17 ноября 2022 года № 269 </w:t>
            </w:r>
            <w:r>
              <w:rPr>
                <w:rFonts w:ascii="Arial" w:hAnsi="Arial"/>
                <w:b/>
                <w:bCs w:val="false"/>
                <w:spacing w:val="-1"/>
                <w:sz w:val="24"/>
                <w:szCs w:val="24"/>
                <w:lang w:eastAsia="ar-SA"/>
              </w:rPr>
              <w:t xml:space="preserve">Об утверждении </w:t>
            </w:r>
            <w:r>
              <w:rPr>
                <w:rFonts w:eastAsia="Times New Roman" w:cs="Times New Roman" w:ascii="Arial" w:hAnsi="Arial"/>
                <w:b/>
                <w:bCs w:val="false"/>
                <w:iCs/>
                <w:sz w:val="24"/>
                <w:szCs w:val="24"/>
                <w:lang w:eastAsia="ru-RU"/>
              </w:rPr>
              <w:t>Административного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 w:val="false"/>
                <w:iCs/>
                <w:sz w:val="24"/>
                <w:szCs w:val="24"/>
                <w:lang w:eastAsia="ru-RU"/>
              </w:rPr>
              <w:t xml:space="preserve">регламента 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 xml:space="preserve">предоставления </w:t>
            </w:r>
            <w:r>
              <w:rPr>
                <w:rFonts w:eastAsia="Times New Roman" w:cs="Times New Roman" w:ascii="Arial" w:hAnsi="Arial"/>
                <w:b/>
                <w:bCs w:val="false"/>
                <w:iCs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 w:val="false"/>
                <w:iCs/>
                <w:sz w:val="24"/>
                <w:szCs w:val="24"/>
                <w:lang w:eastAsia="ru-RU"/>
              </w:rPr>
              <w:t>услуги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 w:ascii="Arial" w:hAnsi="Arial"/>
                <w:b/>
                <w:bCs w:val="false"/>
                <w:iCs/>
                <w:sz w:val="24"/>
                <w:szCs w:val="24"/>
                <w:lang w:eastAsia="ru-RU"/>
              </w:rPr>
              <w:t>ыдача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 xml:space="preserve"> акта </w:t>
            </w:r>
            <w:r>
              <w:rPr>
                <w:rFonts w:eastAsia="Times New Roman" w:cs="Times New Roman" w:ascii="Arial" w:hAnsi="Arial"/>
                <w:b/>
                <w:bCs w:val="false"/>
                <w:iCs/>
                <w:sz w:val="24"/>
                <w:szCs w:val="24"/>
                <w:lang w:eastAsia="ru-RU"/>
              </w:rPr>
              <w:t>освидетельствования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 xml:space="preserve"> проведения </w:t>
            </w:r>
            <w:r>
              <w:rPr>
                <w:rFonts w:eastAsia="Times New Roman" w:cs="Times New Roman" w:ascii="Arial" w:hAnsi="Arial"/>
                <w:b/>
                <w:bCs w:val="false"/>
                <w:iCs/>
                <w:sz w:val="24"/>
                <w:szCs w:val="24"/>
                <w:lang w:eastAsia="ru-RU"/>
              </w:rPr>
              <w:t>основных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 xml:space="preserve"> работ по </w:t>
            </w:r>
            <w:r>
              <w:rPr>
                <w:rFonts w:eastAsia="Times New Roman" w:cs="Times New Roman" w:ascii="Arial" w:hAnsi="Arial"/>
                <w:b/>
                <w:bCs w:val="false"/>
                <w:iCs/>
                <w:sz w:val="24"/>
                <w:szCs w:val="24"/>
                <w:lang w:eastAsia="ru-RU"/>
              </w:rPr>
              <w:t xml:space="preserve">строительству </w:t>
            </w:r>
            <w:r>
              <w:rPr>
                <w:rFonts w:eastAsia="Times New Roman" w:cs="Times New Roman" w:ascii="Arial" w:hAnsi="Arial"/>
                <w:b/>
                <w:bCs w:val="false"/>
                <w:sz w:val="24"/>
                <w:szCs w:val="24"/>
                <w:lang w:eastAsia="ru-RU"/>
              </w:rPr>
              <w:t>(реконструкции) объекта индивидуального жилищного строительства с привлечением средств материнского (семейного) капитала</w:t>
            </w:r>
            <w:r>
              <w:rPr>
                <w:rFonts w:eastAsia="Times New Roman" w:cs="Times New Roman" w:ascii="Arial" w:hAnsi="Arial"/>
                <w:b w:val="false"/>
                <w:bCs w:val="false"/>
                <w:sz w:val="24"/>
                <w:szCs w:val="24"/>
                <w:lang w:eastAsia="ru-RU"/>
              </w:rPr>
              <w:t>"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widowControl w:val="false"/>
              <w:spacing w:lineRule="atLeast" w:line="240" w:before="0" w:after="0"/>
              <w:rPr/>
            </w:pPr>
            <w:r>
              <w:rPr>
                <w:rStyle w:val="Style20"/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20"/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Главный специалист отдела архитектуры и строительства   </w:t>
            </w:r>
            <w:r>
              <w:rPr>
                <w:rStyle w:val="Style20"/>
                <w:rFonts w:ascii="Arial" w:hAnsi="Arial"/>
                <w:b w:val="false"/>
                <w:bCs w:val="false"/>
                <w:sz w:val="24"/>
                <w:szCs w:val="24"/>
              </w:rPr>
              <w:t>Галюкова А.А.</w:t>
            </w:r>
          </w:p>
          <w:p>
            <w:pPr>
              <w:pStyle w:val="Alsta"/>
              <w:widowControl w:val="false"/>
              <w:spacing w:lineRule="atLeast" w:line="240" w:before="0" w:after="0"/>
              <w:rPr/>
            </w:pPr>
            <w:r>
              <w:rPr>
                <w:rStyle w:val="Style20"/>
                <w:rFonts w:ascii="Arial" w:hAnsi="Arial"/>
                <w:b w:val="false"/>
                <w:bCs w:val="false"/>
                <w:sz w:val="24"/>
                <w:szCs w:val="24"/>
              </w:rPr>
              <w:t>тел. 9-79-34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Style20">
    <w:name w:val="Выделение жирным"/>
    <w:qFormat/>
    <w:rPr>
      <w:b/>
      <w:bCs/>
    </w:rPr>
  </w:style>
  <w:style w:type="character" w:styleId="Style21">
    <w:name w:val="Символ нумераци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7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11">
    <w:name w:val="Стиль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Application>LibreOffice/7.0.4.2$Windows_X86_64 LibreOffice_project/dcf040e67528d9187c66b2379df5ea4407429775</Application>
  <AppVersion>15.0000</AppVersion>
  <Pages>1</Pages>
  <Words>349</Words>
  <Characters>2869</Characters>
  <CharactersWithSpaces>3185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2025-04-21T14:52:02Z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