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before="0" w:after="200"/>
              <w:ind w:firstLine="851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000000"/>
                <w:sz w:val="22"/>
                <w:szCs w:val="22"/>
                <w:lang w:eastAsia="ar-SA"/>
              </w:rPr>
              <w:t>Заявителями при предоставлении муниципальной услуги выступают  собственники или иные указанные в частях 5, 6, 7 статьи 19 Федерального закона от 13.03.2006 г. № 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200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Arial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ar-SA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Liberation Serif;Times New Roman" w:ascii="Arial" w:hAnsi="Arial"/>
                <w:color w:val="000000"/>
                <w:spacing w:val="-1"/>
                <w:sz w:val="22"/>
                <w:szCs w:val="22"/>
                <w:lang w:val="ru-RU" w:eastAsia="en-US"/>
              </w:rPr>
              <w:t>В</w:t>
            </w:r>
            <w:r>
              <w:rPr>
                <w:rFonts w:eastAsia="Calibri" w:cs="Liberation Serif;Times New Roman" w:ascii="Arial" w:hAnsi="Arial"/>
                <w:color w:val="000000"/>
                <w:spacing w:val="-1"/>
                <w:sz w:val="22"/>
                <w:szCs w:val="22"/>
                <w:lang w:eastAsia="en-US"/>
              </w:rPr>
              <w:t xml:space="preserve">ыдача разрешения на установку и эксплуатацию рекламной конструкции на территории </w:t>
            </w:r>
            <w:r>
              <w:rPr>
                <w:rFonts w:eastAsia="Calibri" w:cs="Liberation Serif;Times New Roman" w:ascii="Arial" w:hAnsi="Arial"/>
                <w:bCs/>
                <w:color w:val="000000"/>
                <w:spacing w:val="-1"/>
                <w:sz w:val="22"/>
                <w:szCs w:val="22"/>
                <w:lang w:eastAsia="en-US"/>
              </w:rPr>
              <w:t>Куртамышского</w:t>
            </w:r>
            <w:r>
              <w:rPr>
                <w:rFonts w:eastAsia="Calibri" w:cs="Liberation Serif;Times New Roman" w:ascii="Arial" w:hAnsi="Arial"/>
                <w:color w:val="000000"/>
                <w:spacing w:val="-1"/>
                <w:sz w:val="22"/>
                <w:szCs w:val="22"/>
                <w:lang w:eastAsia="en-US"/>
              </w:rPr>
              <w:t xml:space="preserve">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-</w:t>
            </w:r>
            <w:r>
              <w:rPr>
                <w:rFonts w:cs="Liberation Serif;Times New Roman" w:ascii="Arial" w:hAnsi="Arial"/>
                <w:b w:val="false"/>
                <w:bCs w:val="false"/>
                <w:sz w:val="22"/>
                <w:szCs w:val="22"/>
              </w:rPr>
              <w:t>заявление о выдаче разрешения на установку и эксплуатацию рекламной конструкции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-документ удостоверяющий личность;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b w:val="false"/>
                <w:bCs w:val="false"/>
                <w:sz w:val="22"/>
                <w:szCs w:val="22"/>
              </w:rPr>
              <w:t>-</w:t>
            </w:r>
            <w:r>
              <w:rPr>
                <w:rStyle w:val="FontStyle28"/>
                <w:rFonts w:cs="Liberation Serif;Times New Roman" w:ascii="Arial" w:hAnsi="Arial"/>
                <w:b w:val="false"/>
                <w:bCs w:val="false"/>
                <w:sz w:val="22"/>
                <w:szCs w:val="22"/>
              </w:rPr>
              <w:t>подтверждение в письменной форме согласия собственника или иного указанного в частях 5, 6, 7 статьи 19 Федерального закона от 13.03.2006 г. № 38-ФЗ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(за исключением недвижимого имущества, находящегося в государственной или муниципальной собственности)</w:t>
            </w:r>
            <w:r>
              <w:rPr>
                <w:rStyle w:val="FontStyle28"/>
                <w:rFonts w:cs="Liberation Serif" w:ascii="Arial" w:hAnsi="Arial"/>
                <w:b w:val="false"/>
                <w:bCs w:val="false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b w:val="false"/>
                <w:bCs w:val="false"/>
                <w:sz w:val="22"/>
                <w:szCs w:val="22"/>
              </w:rPr>
              <w:t>-</w:t>
            </w:r>
            <w:r>
              <w:rPr>
                <w:rStyle w:val="FontStyle28"/>
                <w:rFonts w:cs="Liberation Serif;Times New Roman" w:ascii="Arial" w:hAnsi="Arial"/>
                <w:b w:val="false"/>
                <w:bCs w:val="false"/>
                <w:sz w:val="22"/>
                <w:szCs w:val="22"/>
              </w:rPr>
              <w:t xml:space="preserve">протокол общего собрания собственников помещений в многоквартирном доме </w:t>
            </w:r>
            <w:r>
              <w:rPr>
                <w:rStyle w:val="FontStyle28"/>
                <w:rFonts w:cs="Liberation Serif;Times New Roman" w:ascii="Arial" w:hAnsi="Arial"/>
                <w:b w:val="false"/>
                <w:bCs w:val="false"/>
                <w:sz w:val="22"/>
                <w:szCs w:val="22"/>
              </w:rPr>
              <w:t>(в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доме)</w:t>
            </w:r>
            <w:r>
              <w:rPr>
                <w:rStyle w:val="FontStyle28"/>
                <w:rFonts w:cs="Liberation Serif;Times New Roman" w:ascii="Arial" w:hAnsi="Arial"/>
                <w:b w:val="false"/>
                <w:bCs w:val="false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/>
            </w:pPr>
            <w:r>
              <w:rPr>
                <w:rStyle w:val="FontStyle28"/>
                <w:rFonts w:cs="Liberation Serif;Times New Roman" w:ascii="Arial" w:hAnsi="Arial"/>
                <w:b w:val="false"/>
                <w:bCs w:val="false"/>
                <w:sz w:val="22"/>
                <w:szCs w:val="22"/>
              </w:rPr>
              <w:t xml:space="preserve">- </w:t>
            </w:r>
            <w:r>
              <w:rPr>
                <w:rStyle w:val="FontStyle28"/>
                <w:rFonts w:cs="Liberation Serif;Times New Roman" w:ascii="Arial" w:hAnsi="Arial"/>
                <w:b w:val="false"/>
                <w:bCs w:val="false"/>
                <w:sz w:val="22"/>
                <w:szCs w:val="22"/>
                <w:lang w:val="en-US"/>
              </w:rPr>
              <w:t>эскиз рекламной конструкции.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Style w:val="FontStyle28"/>
                <w:rFonts w:ascii="Arial" w:hAnsi="Arial" w:cs="Liberation Serif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Liberation Serif;Times New Roman" w:ascii="Arial" w:hAnsi="Arial"/>
                <w:b w:val="false"/>
                <w:bCs w:val="false"/>
                <w:sz w:val="22"/>
                <w:szCs w:val="22"/>
                <w:lang w:eastAsia="en-US"/>
              </w:rPr>
              <w:t>-выдача (направление) разрешения на установку и эксплуатацию рекламной конструкции;</w:t>
            </w:r>
          </w:p>
          <w:p>
            <w:pPr>
              <w:pStyle w:val="Normal"/>
              <w:autoSpaceDE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Liberation Serif;Times New Roman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>-выдача (направление) решения об отказе в выдаче разрешения на установку и эксплуатацию рекламной конструкции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6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0 к.. д.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00"/>
              <w:ind w:hanging="0"/>
              <w:jc w:val="both"/>
              <w:outlineLvl w:val="1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За выдачу разрешения на установку и эксплуатацию рекламной конструкции заявитель уплачивает государственную пошлину в размере, установленном подпунктом 105 пункта 1 статьи 333.33 Налогового кодекса Российской Федерации.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Постановление Администрации Куртамышского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24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.0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6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.2022 года №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155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Liberation Serif;Times New Roman" w:ascii="Arial" w:hAnsi="Arial"/>
                <w:b w:val="false"/>
                <w:bCs w:val="false"/>
                <w:sz w:val="22"/>
                <w:szCs w:val="22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по выдаче разрешения на установку и эксплуатацию рекламной конструкции на территории Куртамышского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FontStyle28">
    <w:name w:val="Font Style28"/>
    <w:qFormat/>
    <w:rPr>
      <w:rFonts w:ascii="Arial" w:hAnsi="Arial" w:cs="Arial"/>
      <w:sz w:val="22"/>
      <w:szCs w:val="22"/>
    </w:rPr>
  </w:style>
  <w:style w:type="character" w:styleId="FontStyle14">
    <w:name w:val="Font Style14"/>
    <w:qFormat/>
    <w:rPr>
      <w:rFonts w:ascii="Arial" w:hAnsi="Arial" w:cs="Arial"/>
      <w:sz w:val="22"/>
      <w:szCs w:val="22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Style141">
    <w:name w:val="Style14"/>
    <w:basedOn w:val="Normal"/>
    <w:qFormat/>
    <w:pPr>
      <w:widowControl w:val="false"/>
      <w:spacing w:lineRule="exact" w:line="274"/>
      <w:ind w:firstLine="682"/>
      <w:jc w:val="both"/>
    </w:pPr>
    <w:rPr>
      <w:rFonts w:ascii="Arial" w:hAnsi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Application>LibreOffice/7.5.3.2$Windows_X86_64 LibreOffice_project/9f56dff12ba03b9acd7730a5a481eea045e468f3</Application>
  <AppVersion>15.0000</AppVersion>
  <Pages>2</Pages>
  <Words>336</Words>
  <Characters>2617</Characters>
  <CharactersWithSpaces>2927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2025-02-24T15:59:20Z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