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100"/>
        <w:gridCol w:w="13262"/>
      </w:tblGrid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Заявителями на получение муниципальной услуги являются физические лица, получившие государственный сертификат на материнский (семейный) капитал.</w:t>
            </w:r>
          </w:p>
        </w:tc>
      </w:tr>
      <w:tr>
        <w:trPr>
          <w:trHeight w:val="45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" w:cs="Liberation Serif" w:ascii="Arial" w:hAnsi="Arial"/>
                <w:iCs/>
                <w:color w:val="000000"/>
                <w:sz w:val="24"/>
                <w:szCs w:val="24"/>
              </w:rPr>
              <w:t xml:space="preserve">Отдел  </w:t>
            </w:r>
            <w:r>
              <w:rPr>
                <w:rFonts w:eastAsia="Arial" w:cs="Liberation Serif" w:ascii="Arial" w:hAnsi="Arial"/>
                <w:iCs/>
                <w:color w:val="000000"/>
                <w:sz w:val="24"/>
                <w:szCs w:val="24"/>
              </w:rPr>
              <w:t xml:space="preserve">строительства </w:t>
            </w:r>
            <w:r>
              <w:rPr>
                <w:rFonts w:eastAsia="Arial" w:cs="Liberation Serif" w:ascii="Arial" w:hAnsi="Arial"/>
                <w:iCs/>
                <w:color w:val="000000"/>
                <w:sz w:val="24"/>
                <w:szCs w:val="24"/>
              </w:rPr>
              <w:t>Администрации Куртамышского муниципального округа Курганской области</w:t>
            </w:r>
          </w:p>
        </w:tc>
      </w:tr>
      <w:tr>
        <w:trPr>
          <w:trHeight w:val="549" w:hRule="atLeast"/>
        </w:trPr>
        <w:tc>
          <w:tcPr>
            <w:tcW w:w="2100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32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капитала.</w:t>
            </w:r>
          </w:p>
        </w:tc>
      </w:tr>
      <w:tr>
        <w:trPr>
          <w:trHeight w:val="1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-д</w:t>
            </w: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окумент, удостоверяющий личность;</w:t>
            </w:r>
          </w:p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-документ, подтверждающий полномочия представителя (если от имени заявителя действует представитель);</w:t>
            </w:r>
          </w:p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-з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x-none" w:eastAsia="ru-RU"/>
              </w:rPr>
              <w:t>аявление;</w:t>
            </w:r>
          </w:p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x-none" w:eastAsia="ru-RU"/>
              </w:rPr>
              <w:t>-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к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x-none" w:eastAsia="ru-RU"/>
              </w:rPr>
              <w:t xml:space="preserve">опии правоустанавливающих документов, 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shd w:fill="FFFF00" w:val="clear"/>
                <w:lang w:val="x-none" w:eastAsia="ru-RU"/>
              </w:rPr>
              <w:t>(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shd w:fill="FFFF00" w:val="clear"/>
                <w:lang w:val="x-none" w:eastAsia="ru-RU"/>
              </w:rPr>
              <w:t>если право не зарегистрировано в Едином государственном реестре недвижимости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shd w:fill="FFFF00" w:val="clear"/>
                <w:lang w:val="x-none" w:eastAsia="ru-RU"/>
              </w:rPr>
              <w:t>)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shd w:fill="FFFF00" w:val="clear"/>
                <w:lang w:val="x-none" w:eastAsia="ru-RU"/>
              </w:rPr>
              <w:t>.</w:t>
            </w:r>
          </w:p>
        </w:tc>
      </w:tr>
      <w:tr>
        <w:trPr>
          <w:trHeight w:val="732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-в</w:t>
            </w: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ыписка из Единого государственного реестра недвижимости;</w:t>
            </w:r>
          </w:p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-с</w:t>
            </w: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участке;</w:t>
            </w:r>
          </w:p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ведения о выданных сертификатах на материнский (семейный) капитал.</w:t>
            </w:r>
          </w:p>
        </w:tc>
      </w:tr>
      <w:tr>
        <w:trPr>
          <w:trHeight w:val="97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-акт освидетельствования проведения основных работ по строительству (реконструкции) объекта ИЖС;</w:t>
            </w:r>
          </w:p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val="x-none" w:eastAsia="ru-RU"/>
              </w:rPr>
              <w:t>-</w:t>
            </w: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val="x-none" w:eastAsia="ru-RU"/>
              </w:rPr>
              <w:t>решение об отказе в предоставлении муниципальной услуги.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  <w:highlight w:val="white"/>
              </w:rPr>
              <w:t>10 рабочих дней</w:t>
            </w:r>
          </w:p>
        </w:tc>
      </w:tr>
      <w:tr>
        <w:trPr>
          <w:trHeight w:val="52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Постановление Администрации Куртамышского муниципального округа от 1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0.10.2024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 года №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184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Arial" w:hAnsi="Arial"/>
                <w:b w:val="false"/>
                <w:bCs w:val="false"/>
                <w:sz w:val="24"/>
                <w:szCs w:val="24"/>
              </w:rPr>
              <w:t>Об утверждении Административного регламента предоставления Администрацией Куртамышского муниципального округа Курганской области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капитала»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Application>LibreOffice/7.5.3.2$Windows_X86_64 LibreOffice_project/9f56dff12ba03b9acd7730a5a481eea045e468f3</Application>
  <AppVersion>15.0000</AppVersion>
  <Pages>2</Pages>
  <Words>221</Words>
  <Characters>1979</Characters>
  <CharactersWithSpaces>2173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2025-04-08T11:20:47Z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