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firstLine="709"/>
              <w:jc w:val="both"/>
              <w:rPr>
                <w:rFonts w:ascii="Liberation Serif;Times New Roman" w:hAnsi="Liberation Serif;Times New Roman" w:cs="Liberation Serif;Times New Roman"/>
                <w:sz w:val="26"/>
                <w:szCs w:val="26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lang w:eastAsia="ru-RU"/>
              </w:rPr>
              <w:t>физические лица;</w:t>
            </w:r>
          </w:p>
          <w:p>
            <w:pPr>
              <w:pStyle w:val="ConsNormal"/>
              <w:widowControl w:val="false"/>
              <w:ind w:left="0" w:right="0" w:firstLine="709"/>
              <w:jc w:val="both"/>
              <w:rPr>
                <w:rFonts w:ascii="Liberation Serif;Times New Roman" w:hAnsi="Liberation Serif;Times New Roman" w:cs="Liberation Serif;Times New Roman"/>
                <w:sz w:val="26"/>
                <w:szCs w:val="26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lang w:eastAsia="ru-RU"/>
              </w:rPr>
              <w:t>юридические лица;</w:t>
            </w:r>
          </w:p>
          <w:p>
            <w:pPr>
              <w:pStyle w:val="ConsNormal"/>
              <w:widowControl w:val="false"/>
              <w:ind w:left="0" w:right="0" w:firstLine="709"/>
              <w:jc w:val="both"/>
              <w:rPr>
                <w:rFonts w:ascii="Liberation Serif;Times New Roman" w:hAnsi="Liberation Serif;Times New Roman" w:cs="Liberation Serif;Times New Roman"/>
                <w:sz w:val="26"/>
                <w:szCs w:val="26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lang w:eastAsia="ru-RU"/>
              </w:rPr>
              <w:t>индивидуальные предприниматели.</w:t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/>
            </w:pPr>
            <w:r>
              <w:rPr>
                <w:rFonts w:eastAsia="Arial" w:cs="Liberation Serif;Times New Roman" w:ascii="Liberation Serif;Times New Roman" w:hAnsi="Liberation Serif;Times New Roman"/>
                <w:iCs/>
                <w:color w:val="000000"/>
                <w:sz w:val="26"/>
                <w:szCs w:val="26"/>
              </w:rPr>
              <w:t>Отдел по развитию городской территории Администрации Куртамышского муниц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jc w:val="both"/>
              <w:rPr>
                <w:rFonts w:ascii="Liberation Serif;Times New Roman" w:hAnsi="Liberation Serif;Times New Roman" w:cs="Liberation Serif;Times New Roman"/>
                <w:sz w:val="26"/>
                <w:szCs w:val="26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lang w:eastAsia="ru-RU"/>
              </w:rPr>
              <w:t>Выдача разрешения на снос (вырубку, обрезку) зеленых насаждений на территории Куртамышского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представителя заявителя 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подтверждающий полномочия представителя 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-з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аявление;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-согласование собственника, арендатора, иного правообладателя земельного участка, в случае произрастания зеленых насаждений на земельном участке, не принадлежащем заявителю;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-решение общего собрания собственников помещений в многоквартирном доме, оформленное протоколом в соответствии с действующим жилищным законодательством;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-проект, согласованный отделом по развитию городской территории Администрации Куртамышского муниципального округа, отделом по развитию сельских территорий Администрации Куртамышского муниципального округа - при посадке зеленых насаждений;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-гарантийное письмо с указанием сроков проведения компенсационного озеленения - представляется при необходимости компенсационного озеленения в натуральной форме;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-проект, согласованный с отделом по развитию городской территории Администрации Куртамышского муниципального округа, отделом по развитию сельских территорий Администрации Куртамышского муниципального округа, схема проведения компенсационного озеленения - представляется при необходимости компенсационного озеленения в натуральной форме;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-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6"/>
                <w:szCs w:val="26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lang w:eastAsia="ru-RU"/>
              </w:rPr>
              <w:t>-выписка из Единого государственного реестра недвижимости на земельный участок.</w:t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6"/>
                <w:szCs w:val="26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6"/>
                <w:szCs w:val="26"/>
              </w:rPr>
              <w:t>-выдача разрешения на снос, посадку, обрезку деревьев и кустарников;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6"/>
                <w:szCs w:val="26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6"/>
                <w:szCs w:val="26"/>
              </w:rPr>
              <w:t>-отказ в выдаче разрешения на снос, посадку, обрезку деревьев и кустарников.</w:t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30 календарных дней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19.06.2024 года № 121 </w:t>
            </w: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26"/>
                <w:szCs w:val="26"/>
              </w:rPr>
              <w:t xml:space="preserve">Об утверждении Административного регламента </w:t>
            </w: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6"/>
                <w:szCs w:val="26"/>
                <w:lang w:bidi="ru-RU"/>
              </w:rPr>
              <w:t>по предоставлению муниципальной услуги «Выдача разрешения на снос (вырубку, обрезку) зеленых насаждений на территории Куртамышского муниципального округа</w:t>
            </w:r>
            <w:bookmarkStart w:id="0" w:name="bookmark3"/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6"/>
                <w:szCs w:val="26"/>
                <w:lang w:bidi="ru-RU"/>
              </w:rPr>
              <w:t xml:space="preserve"> Курганской области</w:t>
            </w:r>
            <w:bookmarkEnd w:id="0"/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6"/>
                <w:szCs w:val="26"/>
                <w:lang w:bidi="ru-RU"/>
              </w:rPr>
              <w:t>».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Application>LibreOffice/7.5.3.2$Windows_X86_64 LibreOffice_project/9f56dff12ba03b9acd7730a5a481eea045e468f3</Application>
  <AppVersion>15.0000</AppVersion>
  <Pages>2</Pages>
  <Words>306</Words>
  <Characters>2555</Characters>
  <CharactersWithSpaces>2827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2025-04-09T08:39:36Z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