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70" w:leader="none"/>
              </w:tabs>
              <w:spacing w:lineRule="exact" w:line="322" w:before="0" w:after="0"/>
              <w:ind w:right="4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Liberation Sans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Liberation Sans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/>
                <w:color w:val="000000"/>
                <w:sz w:val="24"/>
                <w:szCs w:val="24"/>
                <w:lang w:eastAsia="ru-RU"/>
              </w:rPr>
              <w:t>Отдел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Заключение соглашений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bookmarkStart w:id="0" w:name="_GoBack"/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sz w:val="24"/>
                <w:szCs w:val="24"/>
              </w:rPr>
              <w:t>- Схема расположения земельного участка (если отсутствует проект межевания территории)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sz w:val="24"/>
                <w:szCs w:val="24"/>
              </w:rPr>
              <w:t>-К</w:t>
            </w:r>
            <w:r>
              <w:rPr>
                <w:rFonts w:cs="Times New Roman" w:ascii="Arial" w:hAnsi="Arial"/>
                <w:sz w:val="24"/>
                <w:szCs w:val="24"/>
              </w:rPr>
              <w:t>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2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color w:val="000000"/>
                <w:sz w:val="24"/>
                <w:szCs w:val="24"/>
              </w:rPr>
              <w:t>Результатом предоставления муниципальной услуги на I этапе является: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- решение об утверждении схемы расположения земельного участка и направление (выдача) заявителю решения с приложением указанной схемы заявителю;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- направление (выдача)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- направление (выдача) заявителю решения об отказе в заключении соглашения о перераспределении земель и (или) земельных участков.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Liberation Serif"/>
                <w:color w:val="000000"/>
                <w:sz w:val="24"/>
                <w:szCs w:val="24"/>
              </w:rPr>
              <w:t>Результатом предоставления муниципальной услуги на II этапе является: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- направление (выдача) подписанных экземпляров проекта соглашения о перераспределении земельных участков заявителю для подписания;</w:t>
            </w:r>
          </w:p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>- направление (выдача) решения об отказе в заключении соглашения о перераспределении земель и (или) земельных участков.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60 к д+ 2 дня на передачу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>остановление Куртамышского  муниципального округа от 15 ноября 2022 года № 249 Об утверждении административного регламента  предоставления муниципальной услуги  «</w:t>
            </w:r>
            <w:r>
              <w:rPr>
                <w:rFonts w:cs="Liberation Serif" w:ascii="Arial" w:hAnsi="Arial"/>
                <w:sz w:val="24"/>
                <w:szCs w:val="24"/>
              </w:rPr>
              <w:t>Заключение соглашений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      </w:r>
            <w:r>
              <w:rPr>
                <w:rFonts w:cs="Arial" w:ascii="Arial" w:hAnsi="Arial"/>
                <w:sz w:val="24"/>
                <w:szCs w:val="24"/>
              </w:rPr>
              <w:t>»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Контактные данные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30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0"/>
                <w:szCs w:val="20"/>
                <w:lang w:eastAsia="ru-RU"/>
              </w:rPr>
              <w:t>Куртамышского</w:t>
            </w:r>
            <w:r>
              <w:rPr>
                <w:rFonts w:cs="Arial" w:ascii="Arial" w:hAnsi="Arial"/>
                <w:color w:val="000000"/>
                <w:sz w:val="20"/>
                <w:szCs w:val="20"/>
                <w:lang w:eastAsia="ru-RU"/>
              </w:rPr>
              <w:t xml:space="preserve"> муниципального округа  </w:t>
            </w:r>
            <w:r>
              <w:rPr>
                <w:rFonts w:cs="Arial" w:ascii="Arial" w:hAnsi="Arial"/>
                <w:color w:val="000000"/>
                <w:sz w:val="20"/>
                <w:szCs w:val="20"/>
                <w:lang w:eastAsia="ru-RU"/>
              </w:rPr>
              <w:t>А. Н. Гвоздев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Телефон: </w:t>
            </w:r>
            <w:r>
              <w:rPr/>
              <w:t>+</w:t>
            </w:r>
            <w:r>
              <w:rPr/>
              <w:t>7(35249) 2-13-94</w:t>
            </w:r>
          </w:p>
          <w:p>
            <w:pPr>
              <w:pStyle w:val="Normal"/>
              <w:spacing w:before="0" w:after="0"/>
              <w:rPr/>
            </w:pPr>
            <w:r>
              <w:rPr/>
              <w:t>Адрес электронной:</w:t>
            </w:r>
            <w:hyperlink r:id="rId2">
              <w:r>
                <w:rPr>
                  <w:rStyle w:val="-"/>
                </w:rPr>
                <w:t>kurtadm@yandex.ru</w:t>
              </w:r>
            </w:hyperlink>
          </w:p>
          <w:p>
            <w:pPr>
              <w:pStyle w:val="Style17"/>
              <w:spacing w:before="0" w:after="0"/>
              <w:rPr/>
            </w:pPr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val="en-US" w:eastAsia="ru-RU"/>
              </w:rPr>
              <w:t xml:space="preserve">Адрес: </w:t>
            </w:r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val="en-US" w:eastAsia="ru-RU"/>
              </w:rPr>
              <w:t>641430, Курганская область, Куртамышский р-н, г Куртамыш, ул 22 Партсъезда, д. 40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rtadm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Application>LibreOffice/7.5.3.2$Windows_X86_64 LibreOffice_project/9f56dff12ba03b9acd7730a5a481eea045e468f3</Application>
  <AppVersion>15.0000</AppVersion>
  <Pages>2</Pages>
  <Words>307</Words>
  <Characters>2409</Characters>
  <CharactersWithSpaces>2686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2025-02-18T10:25:50Z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