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100"/>
        <w:gridCol w:w="13262"/>
      </w:tblGrid>
      <w:tr>
        <w:trPr/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sz w:val="24"/>
                <w:szCs w:val="24"/>
              </w:rPr>
              <w:t>Администрация Куртамышского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Заявителями при предоставлении муниципальной услуги выступают: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709"/>
              <w:jc w:val="both"/>
              <w:outlineLvl w:val="2"/>
              <w:rPr>
                <w:rFonts w:ascii="Arial" w:hAnsi="Arial"/>
              </w:rPr>
            </w:pPr>
            <w:r>
              <w:rPr>
                <w:rFonts w:eastAsia="Times New Roman" w:cs="Liberation Serif;Times New Roman" w:ascii="Arial" w:hAnsi="Arial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color w:val="auto"/>
                <w:sz w:val="24"/>
                <w:szCs w:val="24"/>
                <w:lang w:eastAsia="ru-RU"/>
              </w:rPr>
              <w:t>физические лица, индивидуальные предприниматели, юридические лица</w:t>
            </w:r>
          </w:p>
        </w:tc>
      </w:tr>
      <w:tr>
        <w:trPr>
          <w:trHeight w:val="45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851" w:leader="none"/>
                <w:tab w:val="left" w:pos="1134" w:leader="none"/>
              </w:tabs>
              <w:spacing w:lineRule="auto" w:line="240" w:before="0" w:after="0"/>
              <w:ind w:left="0" w:right="0" w:firstLine="709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;Times New Roman" w:ascii="Arial" w:hAnsi="Arial"/>
                <w:bCs/>
                <w:iCs/>
                <w:color w:val="000000"/>
                <w:sz w:val="24"/>
                <w:szCs w:val="24"/>
                <w:lang w:eastAsia="ru-RU"/>
              </w:rPr>
              <w:t>Отдел</w:t>
            </w:r>
            <w:r>
              <w:rPr>
                <w:rFonts w:eastAsia="Times New Roman" w:cs="Liberation Serif;Times New Roman" w:ascii="Arial" w:hAnsi="Arial"/>
                <w:iCs/>
                <w:color w:val="000000"/>
                <w:sz w:val="24"/>
                <w:szCs w:val="24"/>
                <w:lang w:eastAsia="ru-RU"/>
              </w:rPr>
              <w:t xml:space="preserve"> экономики Администрации Куртамышского муниципального округа Курганской области.</w:t>
            </w:r>
          </w:p>
        </w:tc>
      </w:tr>
      <w:tr>
        <w:trPr>
          <w:trHeight w:val="549" w:hRule="atLeast"/>
        </w:trPr>
        <w:tc>
          <w:tcPr>
            <w:tcW w:w="2100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32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/>
                <w:bCs/>
                <w:color w:val="000000"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или перевод земель или земельных участков в составе таких земель из одной категории в другую</w:t>
            </w:r>
          </w:p>
        </w:tc>
      </w:tr>
      <w:tr>
        <w:trPr>
          <w:trHeight w:val="11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widowControl w:val="false"/>
              <w:jc w:val="both"/>
              <w:rPr>
                <w:rFonts w:ascii="Arial" w:hAnsi="Arial" w:cs="Liberation Serif;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Liberation Serif;Times New Roman"/>
                <w:b/>
                <w:bCs/>
                <w:color w:val="auto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/>
                <w:b/>
                <w:bCs/>
                <w:color w:val="auto"/>
                <w:sz w:val="24"/>
                <w:szCs w:val="24"/>
                <w:lang w:val="x-none" w:eastAsia="x-none"/>
              </w:rPr>
              <w:t>Для принятия решения о переводе земельных участков из состава земель одной категории в другую необходимы следующие документы:</w:t>
            </w:r>
          </w:p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 w:cs="Liberation Serif;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Times New Roman" w:cs="Liberation Serif;Times New Roman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-</w:t>
            </w:r>
            <w:r>
              <w:rPr>
                <w:rFonts w:eastAsia="Times New Roman" w:cs="Liberation Serif;Times New Roman"/>
                <w:b w:val="false"/>
                <w:bCs w:val="false"/>
                <w:color w:val="auto"/>
                <w:sz w:val="24"/>
                <w:szCs w:val="24"/>
                <w:lang w:val="ru-RU" w:eastAsia="x-none"/>
              </w:rPr>
              <w:t>д</w:t>
            </w:r>
            <w:r>
              <w:rPr>
                <w:rFonts w:eastAsia="Times New Roman" w:cs="Liberation Serif;Times New Roman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окумент, удостоверяющий личность заявителя;</w:t>
            </w:r>
          </w:p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 w:cs="Liberation Serif;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Times New Roman" w:cs="Liberation Serif;Times New Roman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-документ, подтверждающий полномочия представителя действовать от имени заявителя (</w:t>
            </w:r>
            <w:r>
              <w:rPr>
                <w:rFonts w:eastAsia="Times New Roman" w:cs="Liberation Serif;Times New Roman"/>
                <w:b w:val="false"/>
                <w:bCs w:val="false"/>
                <w:color w:val="auto"/>
                <w:sz w:val="24"/>
                <w:szCs w:val="24"/>
                <w:lang w:val="ru-RU" w:eastAsia="x-none"/>
              </w:rPr>
              <w:t xml:space="preserve">в </w:t>
            </w:r>
            <w:r>
              <w:rPr>
                <w:rFonts w:eastAsia="Times New Roman" w:cs="Liberation Serif;Times New Roman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случае, если заявление подается представителем)</w:t>
            </w:r>
          </w:p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eastAsia="Times New Roman" w:cs="Liberation Serif;Times New Roman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-</w:t>
            </w:r>
            <w:r>
              <w:rPr>
                <w:rFonts w:eastAsia="Times New Roman" w:cs="Liberation Serif;Times New Roman"/>
                <w:b w:val="false"/>
                <w:bCs w:val="false"/>
                <w:color w:val="000000"/>
                <w:sz w:val="24"/>
                <w:szCs w:val="24"/>
                <w:lang w:val="x-none" w:eastAsia="x-none"/>
              </w:rPr>
              <w:t>ходатайств</w:t>
            </w:r>
            <w:r>
              <w:rPr>
                <w:rFonts w:eastAsia="Times New Roman" w:cs="Liberation Serif;Times New Roman"/>
                <w:b w:val="false"/>
                <w:bCs w:val="false"/>
                <w:color w:val="000000"/>
                <w:sz w:val="24"/>
                <w:szCs w:val="24"/>
                <w:lang w:val="ru-RU" w:eastAsia="x-none"/>
              </w:rPr>
              <w:t>о</w:t>
            </w:r>
            <w:r>
              <w:rPr>
                <w:rFonts w:eastAsia="Times New Roman" w:cs="Liberation Serif;Times New Roman"/>
                <w:b w:val="false"/>
                <w:bCs w:val="false"/>
                <w:color w:val="000000"/>
                <w:sz w:val="24"/>
                <w:szCs w:val="24"/>
                <w:lang w:val="x-none" w:eastAsia="x-none"/>
              </w:rPr>
              <w:t xml:space="preserve"> о переводе земельных участков из состава земель одной категории в другую;</w:t>
            </w:r>
          </w:p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eastAsia="Times New Roman" w:cs="Liberation Serif;Times New Roman"/>
                <w:color w:val="000000"/>
                <w:sz w:val="24"/>
                <w:szCs w:val="24"/>
                <w:lang w:val="x-none" w:eastAsia="x-none"/>
              </w:rPr>
              <w:t>-согласие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участка.</w:t>
            </w:r>
          </w:p>
          <w:p>
            <w:pPr>
              <w:pStyle w:val="ConsNormal"/>
              <w:widowControl w:val="false"/>
              <w:jc w:val="both"/>
              <w:rPr>
                <w:rFonts w:ascii="Arial" w:hAnsi="Arial" w:cs="Liberation Serif;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Liberation Serif;Times New Roman"/>
                <w:b/>
                <w:bCs/>
                <w:color w:val="auto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/>
                <w:bCs/>
                <w:color w:val="auto"/>
                <w:sz w:val="24"/>
                <w:szCs w:val="24"/>
                <w:lang w:val="x-none" w:eastAsia="x-none"/>
              </w:rPr>
              <w:t xml:space="preserve">Для принятия решения о </w:t>
            </w:r>
            <w:r>
              <w:rPr>
                <w:rFonts w:eastAsia="Times New Roman" w:cs="Liberation Serif;Times New Roman" w:ascii="Arial" w:hAnsi="Arial"/>
                <w:b/>
                <w:bCs/>
                <w:color w:val="auto"/>
                <w:sz w:val="24"/>
                <w:szCs w:val="24"/>
                <w:lang w:val="x-none" w:eastAsia="x-none"/>
              </w:rPr>
              <w:t>об отнесении земельного участка к определенной категории земель</w:t>
            </w:r>
            <w:r>
              <w:rPr>
                <w:rFonts w:eastAsia="Times New Roman" w:cs="Liberation Serif;Times New Roman" w:ascii="Arial" w:hAnsi="Arial"/>
                <w:b/>
                <w:bCs/>
                <w:color w:val="auto"/>
                <w:sz w:val="24"/>
                <w:szCs w:val="24"/>
                <w:lang w:val="x-none" w:eastAsia="x-none"/>
              </w:rPr>
              <w:t xml:space="preserve"> необходимы следующие документы:</w:t>
            </w:r>
          </w:p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 w:cs="Liberation Serif;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Times New Roman" w:cs="Liberation Serif;Times New Roman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-</w:t>
            </w:r>
            <w:r>
              <w:rPr>
                <w:rFonts w:eastAsia="Times New Roman" w:cs="Liberation Serif;Times New Roman"/>
                <w:b w:val="false"/>
                <w:bCs w:val="false"/>
                <w:color w:val="auto"/>
                <w:sz w:val="24"/>
                <w:szCs w:val="24"/>
                <w:lang w:val="ru-RU" w:eastAsia="x-none"/>
              </w:rPr>
              <w:t>д</w:t>
            </w:r>
            <w:r>
              <w:rPr>
                <w:rFonts w:eastAsia="Times New Roman" w:cs="Liberation Serif;Times New Roman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окумент, удостоверяющий личность заявителя;</w:t>
            </w:r>
          </w:p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 w:cs="Liberation Serif;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Times New Roman" w:cs="Liberation Serif;Times New Roman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-документ, подтверждающий полномочия представителя действовать от имени заявителя (</w:t>
            </w:r>
            <w:r>
              <w:rPr>
                <w:rFonts w:eastAsia="Times New Roman" w:cs="Liberation Serif;Times New Roman"/>
                <w:b w:val="false"/>
                <w:bCs w:val="false"/>
                <w:color w:val="auto"/>
                <w:sz w:val="24"/>
                <w:szCs w:val="24"/>
                <w:lang w:val="ru-RU" w:eastAsia="x-none"/>
              </w:rPr>
              <w:t xml:space="preserve">в </w:t>
            </w:r>
            <w:r>
              <w:rPr>
                <w:rFonts w:eastAsia="Times New Roman" w:cs="Liberation Serif;Times New Roman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случае, если заявление подается представителем)</w:t>
            </w:r>
          </w:p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eastAsia="Times New Roman" w:cs="Liberation Serif;Times New Roman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-</w:t>
            </w:r>
            <w:r>
              <w:rPr>
                <w:rFonts w:eastAsia="Times New Roman" w:cs="Liberation Serif;Times New Roman"/>
                <w:b w:val="false"/>
                <w:bCs w:val="false"/>
                <w:color w:val="000000"/>
                <w:sz w:val="24"/>
                <w:szCs w:val="24"/>
                <w:lang w:val="x-none" w:eastAsia="x-none"/>
              </w:rPr>
              <w:t>ходатайств</w:t>
            </w:r>
            <w:r>
              <w:rPr>
                <w:rFonts w:eastAsia="Times New Roman" w:cs="Liberation Serif;Times New Roman"/>
                <w:b w:val="false"/>
                <w:bCs w:val="false"/>
                <w:color w:val="000000"/>
                <w:sz w:val="24"/>
                <w:szCs w:val="24"/>
                <w:lang w:val="ru-RU" w:eastAsia="x-none"/>
              </w:rPr>
              <w:t>о</w:t>
            </w:r>
            <w:r>
              <w:rPr>
                <w:rFonts w:eastAsia="Times New Roman" w:cs="Liberation Serif;Times New Roman"/>
                <w:b w:val="false"/>
                <w:bCs w:val="false"/>
                <w:color w:val="000000"/>
                <w:sz w:val="24"/>
                <w:szCs w:val="24"/>
                <w:lang w:val="x-none" w:eastAsia="x-none"/>
              </w:rPr>
              <w:t xml:space="preserve"> о</w:t>
            </w:r>
            <w:r>
              <w:rPr>
                <w:rFonts w:eastAsia="Times New Roman" w:cs="Liberation Serif;Times New Roman"/>
                <w:b w:val="false"/>
                <w:bCs w:val="false"/>
                <w:color w:val="000000"/>
                <w:sz w:val="24"/>
                <w:szCs w:val="24"/>
                <w:lang w:val="ru-RU" w:eastAsia="x-none"/>
              </w:rPr>
              <w:t>б отнесении земельного участка к определенной территории земель</w:t>
            </w:r>
            <w:r>
              <w:rPr>
                <w:rFonts w:eastAsia="Times New Roman" w:cs="Liberation Serif;Times New Roman"/>
                <w:b w:val="false"/>
                <w:bCs w:val="false"/>
                <w:color w:val="000000"/>
                <w:sz w:val="24"/>
                <w:szCs w:val="24"/>
                <w:lang w:val="x-none" w:eastAsia="x-none"/>
              </w:rPr>
              <w:t>;</w:t>
            </w:r>
          </w:p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eastAsia="Times New Roman" w:cs="Liberation Serif;Times New Roman"/>
                <w:b w:val="false"/>
                <w:bCs w:val="false"/>
                <w:color w:val="000000"/>
                <w:sz w:val="24"/>
                <w:szCs w:val="24"/>
                <w:lang w:val="x-none" w:eastAsia="x-none"/>
              </w:rPr>
              <w:t>-согласие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участка.</w:t>
            </w:r>
          </w:p>
        </w:tc>
      </w:tr>
      <w:tr>
        <w:trPr>
          <w:trHeight w:val="732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-выписка из Единого государственного реестра прав на недвижимое имущество и сделок с ним о правах на здание, сооружение, находящееся на земельном участке, в отношении которого подано ходатайство;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-выписка из ЕГРП о правах на земельный участок, в отношении которого подано ходатайство;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в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 xml:space="preserve">ыписка из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ЕГРИП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 xml:space="preserve"> (для заявителей - индивидуальных предпринимателей);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-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в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 xml:space="preserve">ыписка из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ЕГРЮЛ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 xml:space="preserve"> (для заявителей - юридических лиц);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-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з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аключение государственной экологической экспертизы в случае, если ее проведение предусмотрено федеральными законами;</w:t>
            </w:r>
          </w:p>
        </w:tc>
      </w:tr>
      <w:tr>
        <w:trPr>
          <w:trHeight w:val="97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color w:val="000000"/>
                <w:sz w:val="24"/>
                <w:szCs w:val="24"/>
              </w:rPr>
              <w:t>Результатом предоставления муниципальной услуги в случае обращения с заявлением об отнесении земельного участка к определенной категории является:</w:t>
            </w:r>
          </w:p>
          <w:p>
            <w:pPr>
              <w:pStyle w:val="ConsNormal"/>
              <w:widowControl w:val="false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/>
                <w:color w:val="000000"/>
                <w:sz w:val="24"/>
                <w:szCs w:val="24"/>
              </w:rPr>
              <w:t>1) решение об отнесении земельного участка к определенной категории;</w:t>
            </w:r>
          </w:p>
          <w:p>
            <w:pPr>
              <w:pStyle w:val="ConsNormal"/>
              <w:widowControl w:val="false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/>
                <w:color w:val="000000"/>
                <w:sz w:val="24"/>
                <w:szCs w:val="24"/>
              </w:rPr>
              <w:t>2) решение об отказе об отнесении земельного участка к определенной категории.</w:t>
            </w:r>
          </w:p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/>
                <w:color w:val="000000"/>
                <w:sz w:val="24"/>
                <w:szCs w:val="24"/>
              </w:rPr>
              <w:t>Результатом предоставления муниципальной услуги в случае обращения с заявлением о переводе земельного участка из одной категории в другую:</w:t>
            </w:r>
          </w:p>
          <w:p>
            <w:pPr>
              <w:pStyle w:val="ConsNormal"/>
              <w:widowControl w:val="false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/>
                <w:color w:val="000000"/>
                <w:sz w:val="24"/>
                <w:szCs w:val="24"/>
              </w:rPr>
              <w:t>1) решение о переводе земельного участка из одной категории в другую;</w:t>
            </w:r>
          </w:p>
          <w:p>
            <w:pPr>
              <w:pStyle w:val="ConsNormal"/>
              <w:widowControl w:val="false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eastAsia="Times New Roman" w:cs="Liberation Serif;Times New Roman"/>
                <w:color w:val="auto"/>
                <w:sz w:val="24"/>
                <w:szCs w:val="24"/>
                <w:lang w:val="x-none" w:eastAsia="x-none"/>
              </w:rPr>
              <w:t>2) решение об отказе о переводе земельного участка из одной категории в другую.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  <w:highlight w:val="white"/>
              </w:rPr>
              <w:t xml:space="preserve"> </w:t>
            </w:r>
            <w:r>
              <w:rPr>
                <w:rFonts w:cs="Liberation Serif" w:ascii="Arial" w:hAnsi="Arial"/>
                <w:sz w:val="24"/>
                <w:szCs w:val="24"/>
                <w:highlight w:val="white"/>
              </w:rPr>
              <w:t>60 календарных дней</w:t>
            </w:r>
          </w:p>
        </w:tc>
      </w:tr>
      <w:tr>
        <w:trPr>
          <w:trHeight w:val="52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Arial" w:hAnsi="Arial"/>
                <w:b w:val="false"/>
                <w:bCs w:val="false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Постановление Администрации Куртамышского муниципального округа от 20.03.2023 года № 101 </w:t>
            </w:r>
            <w:r>
              <w:rPr>
                <w:rFonts w:cs="Liberation Serif;Times New Roman" w:ascii="Arial" w:hAnsi="Arial"/>
                <w:b w:val="false"/>
                <w:bCs w:val="false"/>
                <w:sz w:val="24"/>
                <w:szCs w:val="26"/>
              </w:rPr>
              <w:t xml:space="preserve">Об утверждении Административного регламента предоставления муниципальной услуги «Отнесение земель или земельных участков в составе таких земель к определенной категории или перевод земель или земельных участков в составе таких земель из одной категории в другую» на территории Куртамышского </w:t>
            </w:r>
            <w:r>
              <w:rPr>
                <w:rFonts w:cs="Liberation Serif;Times New Roman" w:ascii="Arial" w:hAnsi="Arial"/>
                <w:b w:val="false"/>
                <w:bCs w:val="false"/>
                <w:sz w:val="24"/>
                <w:szCs w:val="24"/>
              </w:rPr>
              <w:t>муниципального округа Курганской области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5z0">
    <w:name w:val="WW8Num5z0"/>
    <w:qFormat/>
    <w:rPr>
      <w:rFonts w:ascii="Liberation Serif;Times New Roman" w:hAnsi="Liberation Serif;Times New Roman" w:eastAsia="Times New Roman" w:cs="Times New Roman"/>
      <w:spacing w:val="0"/>
      <w:w w:val="100"/>
      <w:sz w:val="24"/>
      <w:szCs w:val="24"/>
      <w:lang w:val="ru-RU" w:bidi="ar-SA"/>
    </w:rPr>
  </w:style>
  <w:style w:type="character" w:styleId="WW8Num15z0">
    <w:name w:val="WW8Num15z0"/>
    <w:qFormat/>
    <w:rPr>
      <w:rFonts w:ascii="Liberation Serif;Times New Roman" w:hAnsi="Liberation Serif;Times New Roman" w:eastAsia="Times New Roman" w:cs="Times New Roman"/>
      <w:w w:val="100"/>
      <w:sz w:val="24"/>
      <w:szCs w:val="24"/>
      <w:lang w:val="ru-RU" w:bidi="ar-SA"/>
    </w:rPr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Style24">
    <w:name w:val="Абзац списка"/>
    <w:basedOn w:val="Normal"/>
    <w:qFormat/>
    <w:pPr>
      <w:spacing w:before="0" w:after="160"/>
      <w:ind w:left="720" w:right="0" w:hanging="0"/>
      <w:contextualSpacing/>
    </w:pPr>
    <w:rPr/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numbering" w:styleId="WW8Num5">
    <w:name w:val="WW8Num5"/>
    <w:qFormat/>
  </w:style>
  <w:style w:type="numbering" w:styleId="WW8Num15">
    <w:name w:val="WW8Num15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Application>LibreOffice/7.5.3.2$Windows_X86_64 LibreOffice_project/9f56dff12ba03b9acd7730a5a481eea045e468f3</Application>
  <AppVersion>15.0000</AppVersion>
  <Pages>3</Pages>
  <Words>443</Words>
  <Characters>3215</Characters>
  <CharactersWithSpaces>3622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2025-04-07T10:48:59Z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