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spacing w:lineRule="exact" w:line="322" w:before="0" w:after="0"/>
              <w:ind w:right="40"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физические лица, юридические лица и индивидуальные предприниматели.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Liberation Sans"/>
                <w:b w:val="false"/>
                <w:bCs w:val="false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Liberation Sans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Отдел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/>
                <w:b w:val="false"/>
                <w:bCs w:val="false"/>
                <w:sz w:val="22"/>
                <w:szCs w:val="22"/>
              </w:rPr>
              <w:t>Предоставление земельного участка без проведения торгов на территории Куртамышского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документ, удостоверяющий личность Заявителя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документ, подтверждающий полномочия представителя действовать от имени заявителя - в случае, если заявление подается представителем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Cs w:val="false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b w:val="false"/>
                <w:bCs w:val="false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</w:r>
          </w:p>
        </w:tc>
      </w:tr>
      <w:tr>
        <w:trPr>
          <w:trHeight w:val="82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 xml:space="preserve">Результатом предоставления муниципальной услуги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является: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-договор купли-продажи;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-договор аренды земельного участка;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-договор безвозмездного пользования земельным участком;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решение о предоставлении земельного участка в собственность бесплатно или в постоянное (бессрочное) пользование;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-отказ в предоставлении земельного участка.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30 к. д.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Постановление Администрации Куртамышского муниципального округа от 31.08.2023 года № 185 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Об утверждении административного регламента по предоставлению Администрацией Куртамышского муниципального округа Курганской области муниципальной услуги «Предоставление земельного участка без проведения торгов на территории Куртамышского муниципального округа Курганской области»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403152" w:themeColor="accent4" w:themeShade="80"/>
                <w:lang w:eastAsia="ru-RU"/>
              </w:rPr>
              <w:t>Контактная информация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Куртамышского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 муниципального округа 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А. Н. Гвоздев</w:t>
            </w:r>
          </w:p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Телефон: </w:t>
            </w:r>
            <w:r>
              <w:rPr>
                <w:rFonts w:ascii="Arial" w:hAnsi="Arial"/>
                <w:sz w:val="22"/>
                <w:szCs w:val="22"/>
              </w:rPr>
              <w:t>+</w:t>
            </w:r>
            <w:r>
              <w:rPr>
                <w:rFonts w:ascii="Arial" w:hAnsi="Arial"/>
                <w:sz w:val="22"/>
                <w:szCs w:val="22"/>
              </w:rPr>
              <w:t>7(35249) 2-13-94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Arial" w:hAnsi="Arial"/>
                <w:sz w:val="22"/>
                <w:szCs w:val="22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2"/>
                  <w:szCs w:val="22"/>
                </w:rPr>
                <w:t>kurtadm@yandex.ru</w:t>
              </w:r>
            </w:hyperlink>
          </w:p>
          <w:p>
            <w:pPr>
              <w:pStyle w:val="Style17"/>
              <w:spacing w:before="0" w:after="0"/>
              <w:rPr/>
            </w:pPr>
            <w:r>
              <w:rPr>
                <w:rStyle w:val="-"/>
                <w:rFonts w:cs="Arial" w:ascii="Arial" w:hAnsi="Arial"/>
                <w:i w:val="false"/>
                <w:caps w:val="false"/>
                <w:smallCaps w:val="false"/>
                <w:color w:val="000000"/>
                <w:spacing w:val="0"/>
                <w:u w:val="none"/>
                <w:lang w:val="en-US" w:eastAsia="ru-RU"/>
              </w:rPr>
              <w:t xml:space="preserve">Адрес: </w:t>
            </w:r>
            <w:r>
              <w:rPr>
                <w:rStyle w:val="-"/>
                <w:rFonts w:cs="Arial" w:ascii="Arial" w:hAnsi="Arial"/>
                <w:i w:val="false"/>
                <w:caps w:val="false"/>
                <w:smallCaps w:val="false"/>
                <w:color w:val="000000"/>
                <w:spacing w:val="0"/>
                <w:u w:val="none"/>
                <w:lang w:val="en-US" w:eastAsia="ru-RU"/>
              </w:rPr>
              <w:t>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Application>LibreOffice/7.5.3.2$Windows_X86_64 LibreOffice_project/9f56dff12ba03b9acd7730a5a481eea045e468f3</Application>
  <AppVersion>15.0000</AppVersion>
  <Pages>2</Pages>
  <Words>183</Words>
  <Characters>1572</Characters>
  <CharactersWithSpaces>1723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2025-02-20T15:34:35Z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