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Администрация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Каргапольского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муниципального округа</w:t>
            </w:r>
          </w:p>
        </w:tc>
      </w:tr>
      <w:tr>
        <w:trPr>
          <w:trHeight w:val="65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физические лица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, в том числе зарегистрированные в качестве 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х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 предпринимател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ей</w:t>
            </w: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и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</w:rPr>
              <w:t xml:space="preserve">Администрация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</w:rPr>
              <w:t>Каргапольского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</w:rPr>
              <w:t xml:space="preserve"> муниципального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BodyText"/>
              <w:spacing w:before="0" w:after="14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auto" w:val="clear"/>
              </w:rPr>
              <w:t>Предоставление разрешения на осуществление земляных работ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В рамках муниципальной услуги оказываются следующие подуслуги: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  <w:u w:val="single"/>
                <w:shd w:fill="auto" w:val="clear"/>
              </w:rPr>
              <w:t>подуслуга 1:</w:t>
            </w:r>
            <w:r>
              <w:rPr>
                <w:rFonts w:cs="PT Astra Serif" w:ascii="Arial" w:hAnsi="Arial"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sz w:val="24"/>
                <w:szCs w:val="24"/>
                <w:shd w:fill="auto" w:val="clear"/>
              </w:rPr>
              <w:t xml:space="preserve">«Выдача разрешения  на проведение земляных работ», </w:t>
            </w:r>
            <w:r>
              <w:rPr>
                <w:rFonts w:cs="PT Astra Serif" w:ascii="Arial" w:hAnsi="Arial"/>
                <w:sz w:val="24"/>
                <w:szCs w:val="24"/>
                <w:shd w:fill="auto" w:val="clear"/>
              </w:rPr>
              <w:t>срок предоставления услуги</w:t>
            </w:r>
            <w:r>
              <w:rPr>
                <w:rFonts w:cs="PT Astra Serif" w:ascii="Arial" w:hAnsi="Arial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sz w:val="24"/>
                <w:szCs w:val="24"/>
                <w:shd w:fill="auto" w:val="clear"/>
              </w:rPr>
              <w:t>10 р.д.</w:t>
            </w:r>
            <w:r>
              <w:rPr>
                <w:rFonts w:cs="PT Astra Serif" w:ascii="Arial" w:hAnsi="Arial"/>
                <w:bCs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bCs/>
                <w:sz w:val="24"/>
                <w:szCs w:val="24"/>
                <w:shd w:fill="auto" w:val="clear"/>
              </w:rPr>
              <w:t xml:space="preserve">- при предоставлении разрешения  на осуществление земляных работ в связи с аварийно - восстановительными работами, </w:t>
            </w:r>
            <w:r>
              <w:rPr>
                <w:rFonts w:cs="Liberation Serif;Times New Roman" w:ascii="Arial" w:hAnsi="Arial"/>
                <w:bCs/>
                <w:sz w:val="24"/>
                <w:szCs w:val="24"/>
                <w:shd w:fill="auto" w:val="clear"/>
              </w:rPr>
              <w:t>срок не более 3 р. д.;</w:t>
            </w:r>
          </w:p>
          <w:p>
            <w:pPr>
              <w:pStyle w:val="Normal"/>
              <w:ind w:hanging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>подуслуга 2:</w:t>
            </w:r>
            <w:r>
              <w:rPr>
                <w:rFonts w:eastAsia="Times New Roman" w:cs="PT Astra Serif" w:ascii="Arial" w:hAnsi="Arial"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 xml:space="preserve"> «Продление срока действия 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проведение земляных работ»</w:t>
            </w:r>
            <w:r>
              <w:rPr>
                <w:rFonts w:eastAsia="Times New Roman" w:cs="PT Astra Serif" w:ascii="Arial" w:hAnsi="Arial"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 xml:space="preserve">, </w:t>
            </w:r>
            <w:r>
              <w:rPr>
                <w:rFonts w:eastAsia="Times New Roman" w:cs="Liberation Serif;Times New Roman" w:ascii="Arial" w:hAnsi="Arial"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срок не более 3 р. д.;</w:t>
            </w:r>
          </w:p>
          <w:p>
            <w:pPr>
              <w:pStyle w:val="Normal"/>
              <w:spacing w:before="0" w:after="200"/>
              <w:ind w:hanging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;Times New Roman" w:ascii="Arial" w:hAnsi="Arial"/>
                <w:bCs/>
                <w:color w:val="000000"/>
                <w:sz w:val="24"/>
                <w:szCs w:val="24"/>
                <w:u w:val="single"/>
                <w:shd w:fill="auto" w:val="clear"/>
                <w:lang w:eastAsia="ru-RU"/>
              </w:rPr>
              <w:t>подуслуга 3:</w:t>
            </w:r>
            <w:r>
              <w:rPr>
                <w:rFonts w:eastAsia="Times New Roman" w:cs="Liberation Serif;Times New Roman" w:ascii="Arial" w:hAnsi="Arial"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 xml:space="preserve">  «Закрытие (исполнение)</w:t>
            </w:r>
            <w:r>
              <w:rPr>
                <w:rFonts w:eastAsia="Times New Roman" w:cs="Liberation Serif;Times New Roman" w:ascii="Arial" w:hAnsi="Arial"/>
                <w:bCs/>
                <w:color w:val="FF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разрешения  на осуществление земляных работ, срок не более 6 р.д.</w:t>
            </w:r>
          </w:p>
        </w:tc>
      </w:tr>
      <w:tr>
        <w:trPr>
          <w:trHeight w:val="1300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 xml:space="preserve">-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документ, удостоверяющий личность заявителя.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- Документ, подтверждающий полномочия представителя Заявителя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- Гарантийное письмо по восстановлению покрытия;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-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- договор на проведение работ, в случае если работы будут проводиться подрядной организацией;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-  заявление о предоставлении государственной услуги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 xml:space="preserve">Подуслуга 1: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shd w:fill="auto" w:val="clear"/>
                <w:lang w:eastAsia="ru-RU"/>
              </w:rPr>
              <w:t xml:space="preserve">Выдача разрешения на </w:t>
            </w:r>
            <w:r>
              <w:rPr>
                <w:rFonts w:eastAsia="Times New Roman" w:cs="Arial" w:ascii="Arial" w:hAnsi="Arial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проведение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shd w:fill="auto" w:val="clear"/>
                <w:lang w:eastAsia="ru-RU"/>
              </w:rPr>
              <w:t xml:space="preserve"> земляных работ: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1)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>Проект производства работ:</w:t>
            </w:r>
          </w:p>
          <w:p>
            <w:pPr>
              <w:pStyle w:val="Style20"/>
              <w:ind w:firstLine="709" w:right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- 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 xml:space="preserve">- 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 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строительства».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2)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 xml:space="preserve"> календарный график производства работ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3)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 xml:space="preserve"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 технического обеспечения);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4)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 xml:space="preserve"> правоустанавливающие документы на объект недвижимости (права на который не зарегистрированы в Едином государственном реестре недвижимости).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PT Astra Serif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 xml:space="preserve">Подуслуга 2: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shd w:fill="auto" w:val="clear"/>
                <w:lang w:eastAsia="ru-RU"/>
              </w:rPr>
              <w:t>Продление срока действия разрешения на п</w:t>
            </w:r>
            <w:r>
              <w:rPr>
                <w:rFonts w:eastAsia="Times New Roman" w:cs="Arial" w:ascii="Arial" w:hAnsi="Arial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роведение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shd w:fill="auto" w:val="clear"/>
                <w:lang w:eastAsia="ru-RU"/>
              </w:rPr>
              <w:t xml:space="preserve"> земляных работ: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Под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ача документов производится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 xml:space="preserve"> не менее чем за 3 дня до истечения срока действия разрешения на проведение земляных работ.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1) календарный график производства земляных работ; 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2) проект производства работ (в случае изменения технических решений); 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3)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  <w:p>
            <w:pPr>
              <w:pStyle w:val="Normal"/>
              <w:ind w:hanging="0" w:right="0"/>
              <w:jc w:val="both"/>
              <w:rPr>
                <w:rFonts w:ascii="Arial" w:hAnsi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b/>
                <w:bCs/>
                <w:sz w:val="24"/>
                <w:szCs w:val="24"/>
                <w:shd w:fill="auto" w:val="clear"/>
              </w:rPr>
              <w:t>Подуслуга 3:  Закрытие (исполнение)</w:t>
            </w:r>
            <w:r>
              <w:rPr>
                <w:rFonts w:cs="Liberation Serif;Times New Roman" w:ascii="Arial" w:hAnsi="Arial"/>
                <w:b/>
                <w:bCs/>
                <w:color w:val="FF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Liberation Serif;Times New Roman" w:ascii="Arial" w:hAnsi="Arial"/>
                <w:b/>
                <w:bCs/>
                <w:sz w:val="24"/>
                <w:szCs w:val="24"/>
                <w:shd w:fill="auto" w:val="clear"/>
              </w:rPr>
              <w:t>разрешения  на осуществление земляных работ</w:t>
            </w:r>
          </w:p>
          <w:p>
            <w:pPr>
              <w:pStyle w:val="Normal"/>
              <w:ind w:hanging="0" w:right="0"/>
              <w:jc w:val="both"/>
              <w:rPr/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1) </w:t>
            </w: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>о завершении земляных работ, засыпке траншеи и выполненном благоустройстве, подтверждающий восстановление территории, согласованный с организациями, интересы которых были затронуты при проведении работ, по форме, указанной в приложении 5 к настоящему Административному регламенту;</w:t>
            </w:r>
          </w:p>
          <w:p>
            <w:pPr>
              <w:pStyle w:val="Normal"/>
              <w:spacing w:before="0" w:after="200"/>
              <w:ind w:hanging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>2) сведения о регистрации исполнительной документации в ГИСОГД (представляются в виде регистрационного номера ГИСОГД или справки ГИСОГД в случае строительства, реконструкции, а также ликвидации подземных коммуникаций и сооружений);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а)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б)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в) выписку из Единого государственного реестра недвижимости об основных характеристиках и зарегистрированных правах на объект недвижимости 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г) уведомление о планируемом сносе; 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д) разрешение на строительство, 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е) разрешение на проведение работ по сохранению объектов культурного наследия;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ж) разрешение на вырубку зеленых насаждений, 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з) разрешение на использование земель или земельного участка, находящихся в государственной или муниципальной собственности, </w:t>
            </w:r>
          </w:p>
          <w:p>
            <w:pPr>
              <w:pStyle w:val="Style20"/>
              <w:ind w:firstLine="709" w:right="0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и) разрешение на размещение объекта, 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л) разрешение на установку и эксплуатацию рекламной конструкции; </w:t>
            </w:r>
          </w:p>
          <w:p>
            <w:pPr>
              <w:pStyle w:val="Normal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м) технические условия для подключения к сетям инженерно- технического обеспечения; </w:t>
            </w:r>
          </w:p>
          <w:p>
            <w:pPr>
              <w:pStyle w:val="Normal"/>
              <w:spacing w:before="0" w:after="200"/>
              <w:ind w:firstLine="709" w:right="0"/>
              <w:jc w:val="both"/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н) схему движения транспорта и пешеходов;</w:t>
            </w:r>
          </w:p>
        </w:tc>
      </w:tr>
      <w:tr>
        <w:trPr>
          <w:trHeight w:val="67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ind w:hanging="0" w:left="217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-</w:t>
            </w: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>- выдача разрешения на производство земляных работ,</w:t>
            </w: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 xml:space="preserve"> по форме согласно приложению 4 к административному регламенту (далее – разрешение);</w:t>
            </w:r>
          </w:p>
          <w:p>
            <w:pPr>
              <w:pStyle w:val="Style20"/>
              <w:numPr>
                <w:ilvl w:val="0"/>
                <w:numId w:val="1"/>
              </w:numPr>
              <w:rPr>
                <w:rFonts w:ascii="Arial" w:hAnsi="Arial" w:cs="Liberation Serif;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>- продление срока действия разрешения на производство земляных работ;</w:t>
            </w:r>
          </w:p>
          <w:p>
            <w:pPr>
              <w:pStyle w:val="Style20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 xml:space="preserve">- уведомление об отказе в предоставлении услуги по форме согласно приложению  6 </w:t>
            </w: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к административному регламенту;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 xml:space="preserve">- решение о закрытии (исполнении) разрешения на осуществление земляных работ </w:t>
            </w: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</w:rPr>
              <w:t>по форме согласно приложению 7 к административному регламенту</w:t>
            </w:r>
            <w:r>
              <w:rPr>
                <w:rFonts w:cs="Liberation Serif;Times New Roman" w:ascii="Arial" w:hAnsi="Arial"/>
                <w:sz w:val="24"/>
                <w:szCs w:val="24"/>
                <w:shd w:fill="auto" w:val="clear"/>
                <w:lang w:eastAsia="ru-RU"/>
              </w:rPr>
              <w:t>.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006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Отсутствуют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Постановление Администрации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Каргапольского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муниципального округа от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06.09.2022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№ 14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7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 Об утверждении Административного регламента предоставления муниципальной услуги «Предоставление разрешения на осуществление земляных работ». </w:t>
            </w:r>
            <w:bookmarkStart w:id="0" w:name="_GoBack"/>
            <w:bookmarkEnd w:id="0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217" w:hanging="708"/>
      </w:pPr>
      <w:rPr>
        <w:sz w:val="24"/>
        <w:spacing w:val="0"/>
        <w:i w:val="false"/>
        <w:b w:val="false"/>
        <w:szCs w:val="28"/>
        <w:iCs w:val="false"/>
        <w:bCs w:val="false"/>
        <w:w w:val="100"/>
        <w:rFonts w:ascii="Liberation Sans" w:hAnsi="Liberation Sans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8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7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5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2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1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9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8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17" w:customStyle="1">
    <w:name w:val="Содержимое таблицы"/>
    <w:basedOn w:val="Normal"/>
    <w:qFormat/>
    <w:pPr/>
    <w:rPr/>
  </w:style>
  <w:style w:type="paragraph" w:styleId="Style18" w:customStyle="1">
    <w:name w:val="Заголовок таблицы"/>
    <w:basedOn w:val="Style17"/>
    <w:qFormat/>
    <w:pPr/>
    <w:rPr/>
  </w:style>
  <w:style w:type="paragraph" w:styleId="Style19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0">
    <w:name w:val="Без интервала"/>
    <w:basedOn w:val="Normal"/>
    <w:qFormat/>
    <w:pPr>
      <w:widowControl/>
      <w:suppressAutoHyphens w:val="false"/>
      <w:autoSpaceDE w:val="true"/>
      <w:jc w:val="both"/>
    </w:pPr>
    <w:rPr>
      <w:rFonts w:eastAsia="Arial Unicode MS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Application>LibreOffice/7.6.3.2$Windows_X86_64 LibreOffice_project/29d686fea9f6705b262d369fede658f824154cc0</Application>
  <AppVersion>15.0000</AppVersion>
  <DocSecurity>0</DocSecurity>
  <Pages>5</Pages>
  <Words>808</Words>
  <Characters>6131</Characters>
  <CharactersWithSpaces>6903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2025-03-24T13:57:25Z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