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4"/>
                <w:szCs w:val="24"/>
                <w:shd w:fill="auto" w:val="clear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>Администрация Каргапольского муниципального округа</w:t>
            </w:r>
          </w:p>
        </w:tc>
      </w:tr>
      <w:tr>
        <w:trPr>
          <w:trHeight w:val="65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4"/>
                <w:szCs w:val="24"/>
                <w:shd w:fill="auto" w:val="clear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;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физические лица</w:t>
            </w:r>
            <w:r>
              <w:rPr>
                <w:rFonts w:eastAsia="Times New Roman" w:cs="Liberation Serif;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, в том числе зарегистрированные в качестве </w:t>
            </w:r>
            <w:r>
              <w:rPr>
                <w:rFonts w:eastAsia="Times New Roman" w:cs="Liberation Serif;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</w:t>
            </w:r>
            <w:r>
              <w:rPr>
                <w:rFonts w:eastAsia="Times New Roman" w:cs="Liberation Serif;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х</w:t>
            </w:r>
            <w:r>
              <w:rPr>
                <w:rFonts w:eastAsia="Times New Roman" w:cs="Liberation Serif;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 предпринимател</w:t>
            </w:r>
            <w:r>
              <w:rPr>
                <w:rFonts w:eastAsia="Times New Roman" w:cs="Liberation Serif;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ей</w:t>
            </w:r>
            <w:r>
              <w:rPr>
                <w:rFonts w:eastAsia="Times New Roman" w:cs="Liberation Serif;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 и юридические 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4"/>
                <w:szCs w:val="24"/>
                <w:shd w:fill="auto" w:val="clear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  <w:shd w:fill="auto" w:val="clear"/>
              </w:rPr>
              <w:t>Администрация Каргапольского муниципального округа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4"/>
                <w:szCs w:val="24"/>
                <w:shd w:fill="auto" w:val="clear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200"/>
              <w:ind w:firstLine="709" w:right="0"/>
              <w:jc w:val="both"/>
              <w:rPr>
                <w:rFonts w:ascii="Arial" w:hAnsi="Arial" w:cs="Liberation Serif;Times New Roman"/>
                <w:b/>
                <w:bCs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  <w:shd w:fill="auto" w:val="clear"/>
              </w:rPr>
              <w:t>«Подготовка и утверждение документации по планировке территории»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PT Astra Serif" w:ascii="Arial" w:hAnsi="Arial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В рамках муниципальной услуги оказываются следующие подуслуги: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sz w:val="24"/>
                <w:szCs w:val="24"/>
                <w:u w:val="single"/>
                <w:shd w:fill="auto" w:val="clear"/>
              </w:rPr>
              <w:t>подуслуга 1:</w:t>
            </w:r>
            <w:r>
              <w:rPr>
                <w:rFonts w:cs="PT Astra Serif" w:ascii="Arial" w:hAnsi="Arial"/>
                <w:bCs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PT Astra Serif" w:ascii="Arial" w:hAnsi="Arial"/>
                <w:sz w:val="24"/>
                <w:szCs w:val="24"/>
                <w:shd w:fill="auto" w:val="clear"/>
              </w:rPr>
              <w:t>«</w:t>
            </w:r>
            <w:r>
              <w:rPr>
                <w:rFonts w:cs="PT Astra Serif" w:ascii="Arial" w:hAnsi="Arial"/>
                <w:sz w:val="24"/>
                <w:szCs w:val="24"/>
                <w:shd w:fill="auto" w:val="clear"/>
              </w:rPr>
              <w:t>П</w:t>
            </w:r>
            <w:r>
              <w:rPr>
                <w:rFonts w:cs="Liberation Serif;Times New Roman" w:ascii="Arial" w:hAnsi="Arial"/>
                <w:sz w:val="24"/>
                <w:szCs w:val="24"/>
                <w:u w:val="single"/>
                <w:shd w:fill="auto" w:val="clear"/>
              </w:rPr>
              <w:t>ринятия решения о подготовке документации по планировке территории или внесении изменений в документацию по планировке территории</w:t>
            </w:r>
            <w:r>
              <w:rPr>
                <w:rFonts w:cs="PT Astra Serif" w:ascii="Arial" w:hAnsi="Arial"/>
                <w:sz w:val="24"/>
                <w:szCs w:val="24"/>
                <w:shd w:fill="auto" w:val="clear"/>
              </w:rPr>
              <w:t>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ind w:hanging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PT Astra Serif" w:ascii="Arial" w:hAnsi="Arial"/>
                <w:bCs/>
                <w:color w:val="000000"/>
                <w:sz w:val="24"/>
                <w:szCs w:val="24"/>
                <w:u w:val="single"/>
                <w:shd w:fill="auto" w:val="clear"/>
                <w:lang w:eastAsia="ru-RU"/>
              </w:rPr>
              <w:t>подуслуга 2:</w:t>
            </w:r>
            <w:r>
              <w:rPr>
                <w:rFonts w:eastAsia="Times New Roman" w:cs="PT Astra Serif" w:ascii="Arial" w:hAnsi="Arial"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 xml:space="preserve"> «</w:t>
            </w:r>
            <w:r>
              <w:rPr>
                <w:rFonts w:eastAsia="Times New Roman" w:cs="PT Astra Serif" w:ascii="Arial" w:hAnsi="Arial"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>П</w:t>
            </w:r>
            <w:r>
              <w:rPr>
                <w:rFonts w:eastAsia="Times New Roman" w:cs="Liberation Serif;Times New Roman" w:ascii="Arial" w:hAnsi="Arial"/>
                <w:bCs/>
                <w:color w:val="000000"/>
                <w:sz w:val="24"/>
                <w:szCs w:val="24"/>
                <w:u w:val="single"/>
                <w:shd w:fill="auto" w:val="clear"/>
                <w:lang w:eastAsia="ru-RU"/>
              </w:rPr>
              <w:t>ринятия решения о</w:t>
            </w:r>
            <w:r>
              <w:rPr>
                <w:rFonts w:eastAsia="Times New Roman" w:cs="Liberation Serif;Times New Roman" w:ascii="Arial" w:hAnsi="Arial"/>
                <w:bCs/>
                <w:color w:val="000000"/>
                <w:sz w:val="24"/>
                <w:szCs w:val="24"/>
                <w:u w:val="single"/>
                <w:shd w:fill="auto" w:val="clear"/>
                <w:lang w:eastAsia="ru-RU"/>
              </w:rPr>
              <w:t>б</w:t>
            </w:r>
            <w:r>
              <w:rPr>
                <w:rFonts w:eastAsia="Times New Roman" w:cs="Liberation Serif;Times New Roman" w:ascii="Arial" w:hAnsi="Arial"/>
                <w:bCs/>
                <w:color w:val="000000"/>
                <w:sz w:val="24"/>
                <w:szCs w:val="24"/>
                <w:u w:val="single"/>
                <w:shd w:fill="auto" w:val="clear"/>
                <w:lang w:eastAsia="ru-RU"/>
              </w:rPr>
              <w:t xml:space="preserve"> </w:t>
            </w:r>
            <w:r>
              <w:rPr>
                <w:rFonts w:eastAsia="Times New Roman" w:cs="Liberation Serif;Times New Roman" w:ascii="Arial" w:hAnsi="Arial"/>
                <w:bCs/>
                <w:color w:val="000000"/>
                <w:sz w:val="24"/>
                <w:szCs w:val="24"/>
                <w:u w:val="single"/>
                <w:shd w:fill="auto" w:val="clear"/>
                <w:lang w:eastAsia="ru-RU"/>
              </w:rPr>
              <w:t>утверждении</w:t>
            </w:r>
            <w:r>
              <w:rPr>
                <w:rFonts w:eastAsia="Times New Roman" w:cs="Liberation Serif;Times New Roman" w:ascii="Arial" w:hAnsi="Arial"/>
                <w:bCs/>
                <w:color w:val="000000"/>
                <w:sz w:val="24"/>
                <w:szCs w:val="24"/>
                <w:u w:val="single"/>
                <w:shd w:fill="auto" w:val="clear"/>
                <w:lang w:eastAsia="ru-RU"/>
              </w:rPr>
              <w:t xml:space="preserve"> документации по планировке территории или внесении изменений в документацию по планировке территории</w:t>
            </w:r>
            <w:r>
              <w:rPr>
                <w:rFonts w:eastAsia="Times New Roman" w:cs="PT Astra Serif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»</w:t>
            </w:r>
          </w:p>
        </w:tc>
      </w:tr>
      <w:tr>
        <w:trPr>
          <w:trHeight w:val="1300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4"/>
                <w:szCs w:val="24"/>
                <w:shd w:fill="auto" w:val="clear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PT Astra Serif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 xml:space="preserve">- </w:t>
            </w:r>
            <w:r>
              <w:rPr>
                <w:rFonts w:eastAsia="Times New Roman" w:cs="Liberation Serif;Times New Roman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>документ, удостоверяющий личность заявителя.</w:t>
            </w:r>
          </w:p>
          <w:p>
            <w:pPr>
              <w:pStyle w:val="Normal"/>
              <w:widowControl w:val="false"/>
              <w:spacing w:lineRule="auto" w:line="240" w:beforeAutospacing="1" w:after="0"/>
              <w:ind w:hanging="0" w:left="0" w:righ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;Times New Roman" w:ascii="Arial" w:hAnsi="Arial"/>
                <w:b w:val="false"/>
                <w:bCs w:val="false"/>
                <w:sz w:val="24"/>
                <w:szCs w:val="24"/>
                <w:shd w:fill="auto" w:val="clear"/>
                <w:lang w:eastAsia="ru-RU"/>
              </w:rPr>
              <w:t>- Документ, подтверждающий полномочия представителя Заявителя</w:t>
            </w:r>
          </w:p>
          <w:p>
            <w:pPr>
              <w:pStyle w:val="Normal"/>
              <w:widowControl w:val="false"/>
              <w:spacing w:lineRule="auto" w:line="240" w:beforeAutospacing="1" w:after="0"/>
              <w:ind w:hanging="0" w:left="0" w:right="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PT Astra Serif" w:ascii="Arial" w:hAnsi="Arial"/>
                <w:b/>
                <w:bCs/>
                <w:sz w:val="24"/>
                <w:szCs w:val="24"/>
                <w:shd w:fill="auto" w:val="clear"/>
                <w:lang w:eastAsia="ru-RU"/>
              </w:rPr>
              <w:t xml:space="preserve">Подуслуга 1: </w:t>
            </w:r>
            <w:r>
              <w:rPr>
                <w:rFonts w:eastAsia="Times New Roman" w:cs="Liberation Serif;Times New Roman" w:ascii="Arial" w:hAnsi="Arial"/>
                <w:b/>
                <w:bCs/>
                <w:sz w:val="24"/>
                <w:szCs w:val="24"/>
                <w:u w:val="single"/>
                <w:shd w:fill="auto" w:val="clear"/>
                <w:lang w:eastAsia="ru-RU"/>
              </w:rPr>
              <w:t>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документы: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>1) 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>2) проект задания на разработку проекта планировки территории;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 w:cs="PT Astra Serif"/>
                <w:bCs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PT Astra Serif" w:ascii="Arial" w:hAnsi="Arial"/>
                <w:bCs/>
                <w:color w:val="00000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PT Astra Serif" w:ascii="Arial" w:hAnsi="Arial"/>
                <w:b/>
                <w:bCs/>
                <w:color w:val="000000"/>
                <w:sz w:val="24"/>
                <w:szCs w:val="24"/>
                <w:shd w:fill="auto" w:val="clear"/>
                <w:lang w:eastAsia="ru-RU"/>
              </w:rPr>
              <w:t xml:space="preserve">Подуслуга 2: </w:t>
            </w:r>
            <w:r>
              <w:rPr>
                <w:rFonts w:eastAsia="Times New Roman" w:cs="Liberation Serif;Times New Roman" w:ascii="Arial" w:hAnsi="Arial"/>
                <w:b/>
                <w:bCs/>
                <w:color w:val="000000"/>
                <w:sz w:val="24"/>
                <w:szCs w:val="24"/>
                <w:u w:val="single"/>
                <w:shd w:fill="auto" w:val="clear"/>
                <w:lang w:eastAsia="ru-RU"/>
              </w:rPr>
              <w:t xml:space="preserve">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документы: 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 xml:space="preserve">1)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 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>2)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 xml:space="preserve">3) основная часть проекта межевания территории; </w:t>
            </w:r>
          </w:p>
          <w:p>
            <w:pPr>
              <w:pStyle w:val="Normal"/>
              <w:spacing w:before="0" w:after="200"/>
              <w:ind w:firstLine="709" w:right="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>4) материалы по обоснованию проекта межевания территории;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4"/>
                <w:szCs w:val="24"/>
                <w:shd w:fill="auto" w:val="clear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 xml:space="preserve">1) в случае обращения юридического лица запрашиваются сведения из Единого государственного реестра юридических лиц из Федеральной налоговой службы; 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 xml:space="preserve">2)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 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 xml:space="preserve">3) 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 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–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>5) сведения о факте выдачи и содержании доверенности – единая информационная система нотариата.</w:t>
            </w:r>
          </w:p>
          <w:p>
            <w:pPr>
              <w:pStyle w:val="Normal"/>
              <w:spacing w:before="0" w:after="200"/>
              <w:ind w:firstLine="709" w:right="0"/>
              <w:jc w:val="both"/>
              <w:rPr>
                <w:rFonts w:cs="Liberation Serif;Times New Roman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</w:rPr>
            </w:r>
          </w:p>
        </w:tc>
      </w:tr>
      <w:tr>
        <w:trPr>
          <w:trHeight w:val="67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4"/>
                <w:szCs w:val="24"/>
                <w:shd w:fill="auto" w:val="clear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ind w:hanging="0" w:left="0" w:right="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PT Astra Serif" w:ascii="Arial" w:hAnsi="Arial"/>
                <w:b/>
                <w:bCs/>
                <w:sz w:val="24"/>
                <w:szCs w:val="24"/>
                <w:shd w:fill="auto" w:val="clear"/>
                <w:lang w:eastAsia="ru-RU"/>
              </w:rPr>
              <w:t xml:space="preserve">Подуслуга 1: </w:t>
            </w:r>
            <w:r>
              <w:rPr>
                <w:rFonts w:eastAsia="Times New Roman" w:cs="Liberation Serif;Times New Roman" w:ascii="Arial" w:hAnsi="Arial"/>
                <w:b/>
                <w:bCs/>
                <w:sz w:val="24"/>
                <w:szCs w:val="24"/>
                <w:u w:val="single"/>
                <w:shd w:fill="auto" w:val="clear"/>
                <w:lang w:eastAsia="ru-RU"/>
              </w:rPr>
              <w:t>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документы: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>1)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 по форме, согласно приложению № 5 к настоящему Административному регламенту;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>2)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 6 к настоящему Административному регламенту;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b w:val="false"/>
                <w:bCs w:val="false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eastAsia="Times New Roman" w:cs="Liberation Serif;Times New Roman"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  <w:lang w:eastAsia="ru-RU"/>
              </w:rPr>
              <w:t>3) решение об отказе в предоставлении услуги по форме, согласно приложению № 7,№ 8 к настоящему Административному регламенту;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PT Astra Serif" w:ascii="Arial" w:hAnsi="Arial"/>
                <w:b/>
                <w:bCs/>
                <w:color w:val="000000"/>
                <w:sz w:val="24"/>
                <w:szCs w:val="24"/>
                <w:u w:val="single"/>
                <w:shd w:fill="auto" w:val="clear"/>
                <w:lang w:eastAsia="ru-RU"/>
              </w:rPr>
              <w:t xml:space="preserve">Подуслуга 2: </w:t>
            </w:r>
            <w:r>
              <w:rPr>
                <w:rFonts w:eastAsia="Times New Roman" w:ascii="Arial" w:hAnsi="Arial"/>
                <w:b/>
                <w:bCs/>
                <w:color w:val="000000"/>
                <w:sz w:val="24"/>
                <w:szCs w:val="24"/>
                <w:u w:val="single"/>
                <w:shd w:fill="auto" w:val="clear"/>
                <w:lang w:eastAsia="ru-RU"/>
              </w:rPr>
              <w:t xml:space="preserve">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документы: 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1)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 по форме, согласно приложению № 9 к настоящему Административному регламенту;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</w:rPr>
            </w:pPr>
            <w:r>
              <w:rPr>
                <w:rFonts w:cs="Liberation Serif;Times New Roman" w:ascii="Arial" w:hAnsi="Arial"/>
                <w:sz w:val="24"/>
                <w:szCs w:val="24"/>
              </w:rPr>
              <w:t>2) 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 по форме, согласно приложению № 10 к настоящему Административному регламенту;</w:t>
            </w:r>
          </w:p>
          <w:p>
            <w:pPr>
              <w:pStyle w:val="Normal"/>
              <w:spacing w:before="0" w:after="200"/>
              <w:ind w:firstLine="709" w:right="0"/>
              <w:jc w:val="both"/>
              <w:rPr>
                <w:rFonts w:ascii="Arial" w:hAnsi="Arial" w:cs="Liberation Serif;Times New Roman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eastAsia="Times New Roman" w:cs="Liberation Serif;Times New Roman" w:ascii="Arial" w:hAnsi="Arial"/>
                <w:b w:val="false"/>
                <w:bCs w:val="false"/>
                <w:color w:val="000000"/>
                <w:sz w:val="24"/>
                <w:szCs w:val="24"/>
                <w:u w:val="none"/>
                <w:lang w:eastAsia="ru-RU"/>
              </w:rPr>
              <w:t>3) решение об отказе в предоставлении услуги по форме, согласно приложению № 11 к настоящему Административному регламенту;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4"/>
                <w:szCs w:val="24"/>
                <w:shd w:fill="auto" w:val="clear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</w:rPr>
              <w:t>Сроки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>1) 15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 подготовке документации по планировке территории;</w:t>
            </w:r>
          </w:p>
          <w:p>
            <w:pPr>
              <w:pStyle w:val="Normal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>2) 20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об утверждении документации по планировке территории;</w:t>
            </w:r>
          </w:p>
          <w:p>
            <w:pPr>
              <w:pStyle w:val="Normal"/>
              <w:spacing w:before="0" w:after="200"/>
              <w:ind w:firstLine="709" w:right="0"/>
              <w:jc w:val="both"/>
              <w:rPr>
                <w:rFonts w:ascii="Arial" w:hAnsi="Arial" w:cs="Liberation Serif;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;Times New Roman" w:ascii="Arial" w:hAnsi="Arial"/>
                <w:sz w:val="24"/>
                <w:szCs w:val="24"/>
                <w:shd w:fill="auto" w:val="clear"/>
              </w:rPr>
              <w:t>3) 75 рабочих дней со дня регистрации заявления и документов, необходимых для предоставления муниципальной услуги в Уполномоченном органе, в случае проведения публичных слушаний или общественных обсуждений до утверждения документации по планировке территории.</w:t>
            </w:r>
          </w:p>
        </w:tc>
      </w:tr>
      <w:tr>
        <w:trPr/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4"/>
                <w:szCs w:val="24"/>
                <w:shd w:fill="auto" w:val="clear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006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4"/>
                <w:szCs w:val="24"/>
                <w:shd w:fill="auto" w:val="clear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Отсутствуют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4"/>
                <w:szCs w:val="24"/>
                <w:shd w:fill="auto" w:val="clear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val="clear" w:color="auto" w:fill="FFFFFF"/>
              <w:spacing w:before="0" w:after="20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 xml:space="preserve">Постановление Администрации Каргапольского муниципального округа от 06.09.2022 № </w:t>
            </w: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>158</w:t>
            </w: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 xml:space="preserve">  Об утверждении Административного регламента предоставления муниципальной услуги </w:t>
            </w:r>
            <w:r>
              <w:rPr>
                <w:rStyle w:val="3"/>
                <w:rFonts w:cs="Liberation Serif;Times New Roman" w:ascii="Liberation Serif;Times New Roman" w:hAnsi="Liberation Serif;Times New Roman"/>
                <w:b/>
                <w:bCs w:val="false"/>
                <w:i/>
                <w:color w:val="000000"/>
                <w:sz w:val="24"/>
                <w:szCs w:val="24"/>
                <w:shd w:fill="auto" w:val="clear"/>
              </w:rPr>
              <w:t>«</w:t>
            </w:r>
            <w:r>
              <w:rPr>
                <w:rStyle w:val="3"/>
                <w:rFonts w:cs="Liberation Serif;Times New Roman" w:ascii="Liberation Serif;Times New Roman" w:hAnsi="Liberation Serif;Times New Roman"/>
                <w:b/>
                <w:bCs w:val="false"/>
                <w:i/>
                <w:color w:val="000000"/>
                <w:sz w:val="24"/>
                <w:szCs w:val="24"/>
                <w:shd w:fill="auto" w:val="clear"/>
                <w:lang w:val="ru-RU"/>
              </w:rPr>
              <w:t>Подготовка и утверждение документации по планировке территории</w:t>
            </w:r>
            <w:r>
              <w:rPr>
                <w:rStyle w:val="3"/>
                <w:rFonts w:cs="Liberation Serif;Times New Roman" w:ascii="Liberation Serif;Times New Roman" w:hAnsi="Liberation Serif;Times New Roman"/>
                <w:b/>
                <w:bCs w:val="false"/>
                <w:i/>
                <w:color w:val="000000"/>
                <w:sz w:val="24"/>
                <w:szCs w:val="24"/>
                <w:shd w:fill="auto" w:val="clear"/>
              </w:rPr>
              <w:t xml:space="preserve">» 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Hyperlink" w:customStyle="1">
    <w:name w:val="Hyperlink"/>
    <w:basedOn w:val="DefaultParagraphFont"/>
    <w:rPr>
      <w:color w:val="0000FF"/>
      <w:u w:val="single"/>
    </w:rPr>
  </w:style>
  <w:style w:type="character" w:styleId="FollowedHyperlink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yle15">
    <w:name w:val="Основной шрифт абзаца"/>
    <w:qFormat/>
    <w:rPr/>
  </w:style>
  <w:style w:type="character" w:styleId="3">
    <w:name w:val="Основной текст (3)_"/>
    <w:basedOn w:val="Style15"/>
    <w:qFormat/>
    <w:rPr>
      <w:b/>
      <w:bCs/>
      <w:sz w:val="28"/>
      <w:szCs w:val="28"/>
      <w:lang w:bidi="ar-SA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18" w:customStyle="1">
    <w:name w:val="Содержимое таблицы"/>
    <w:basedOn w:val="Normal"/>
    <w:qFormat/>
    <w:pPr/>
    <w:rPr/>
  </w:style>
  <w:style w:type="paragraph" w:styleId="Style19" w:customStyle="1">
    <w:name w:val="Заголовок таблицы"/>
    <w:basedOn w:val="Style18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0">
    <w:name w:val="Без интервала"/>
    <w:basedOn w:val="Normal"/>
    <w:qFormat/>
    <w:pPr>
      <w:widowControl/>
      <w:suppressAutoHyphens w:val="false"/>
      <w:jc w:val="both"/>
    </w:pPr>
    <w:rPr>
      <w:rFonts w:eastAsia="Arial Unicode MS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Application>LibreOffice/7.6.3.2$Windows_X86_64 LibreOffice_project/29d686fea9f6705b262d369fede658f824154cc0</Application>
  <AppVersion>15.0000</AppVersion>
  <Pages>4</Pages>
  <Words>694</Words>
  <Characters>5236</Characters>
  <CharactersWithSpaces>5893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2025-03-24T15:25:57Z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