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599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4"/>
        <w:gridCol w:w="12528"/>
      </w:tblGrid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color w:val="000000"/>
                <w:lang w:eastAsia="ru-RU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Приём документов для предоставления поддержки на строительство (приобретение) индивидуальных жилых домов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Услугу оказывает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pacing w:before="0" w:after="0"/>
              <w:ind w:hang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Акционерное общество «Курганская ипотечно-жилищная корпорация»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Результат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pacing w:before="0" w:after="0"/>
              <w:ind w:hang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Результатом предоставления услуг является принятие Обществом решения о предоставлении поддержки либо отказе в предоставлении поддержки.</w:t>
            </w:r>
          </w:p>
          <w:p>
            <w:pPr>
              <w:pStyle w:val="NormalWeb"/>
              <w:spacing w:before="280" w:after="0"/>
              <w:ind w:hang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Передача результата предоставления услуги в МФЦ не предусмотрена. С момента поступления документов в Общество взаимодействие с заявителем по вопросам, связанным с процедурой предоставления услуг, осуществляется Обществом.</w:t>
            </w:r>
          </w:p>
        </w:tc>
      </w:tr>
      <w:tr>
        <w:trPr>
          <w:trHeight w:val="2610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Круг заявителей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Получателями поддержки на строительство (приобретение) индивидуальных жилых домов являются: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а) граждане Российской Федерации, зарегистрированные по месту жительства на территории Курганской области: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семьи, в которых возраст обоих супругов на дату подачи заявления на получение поддержки на строительство (приобретение) индивидуальных жилых домов не превышает 65 лет;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неполные семьи, состоящие из одного родителя, возраст которого на дату подачи Заявления не превышает 65 лет, и одного и более детей, в том числе усыновленных, в возрасте до 18 лет и (или) в возрасте до 23 лет, обучающихся в образовательных организациях по очной форме обучения;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многодетные семьи (семьи с тремя и более детьми, находящимися на иждивении);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работники бюджетных организаций;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сотрудники Управления Министерства внутренних дел Российской Федерации по Курганской области. В целях программы под сотрудником Управления Министерства внутренних дел Российской Федерации по Курганской области понимается лицо, осуществляющее служебную деятельность на должностях федеральной государственной службы в органах внутренних дел на территории Курганской области в соответствии с частью 1 статьи 25 Федерального закона от 7 февраля 2011 года N 3-ФЗ «О полиции» (далее – сотрудники УМВД по Курганской области);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работающие по трудовом договору или осуществляющие индивидуальную предпринимательскую деятельность в сфере агропромышленного комплекса Курганской области (далее – работники АПК);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работники ОПК;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граждане, проживающие в сельских поселениях и сельских населенных пунктах, находящихся на территории Курганской области, для строительства и приобретения индивидуальных жилых домов в сельских поселениях и сельских населенных пунктах Курганской области;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 водители транспортных средств;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highlight w:val="none"/>
                <w:shd w:fill="FFFFA6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hd w:fill="FFFFA6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hd w:fill="FFFFA6" w:val="clear"/>
                <w:lang w:eastAsia="ru-RU"/>
              </w:rPr>
              <w:t>участники СВО,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highlight w:val="none"/>
                <w:shd w:fill="FFFFA6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hd w:fill="FFFFA6" w:val="clear"/>
                <w:lang w:eastAsia="ru-RU"/>
              </w:rPr>
              <w:t>- члены семей участников СВО (</w:t>
            </w:r>
            <w:r>
              <w:rPr>
                <w:rFonts w:eastAsia="Times New Roman" w:cs="Arial" w:ascii="Arial" w:hAnsi="Arial"/>
                <w:color w:val="000000"/>
                <w:sz w:val="22"/>
                <w:shd w:fill="FFFFA6" w:val="clear"/>
                <w:lang w:eastAsia="ru-RU"/>
              </w:rPr>
              <w:t>родители, дети, вдовы (вдовцы) участников СВО погибших (умерших) вследствие увечья (контузии, травмы, ранения), полученных в ходе специальной военной операции)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б) граждане Российской Федерации, зарегистрированные по месту жительства за пределами территории Курганской области, желающие переселиться в Курганскую область, работающие по трудовому договору или осуществляющим индивидуальную предпринимательскую деятельность на территории Курганской области;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в) участники государственной программы Курганской области по оказанию содействия добровольному переселению в Курганскую область соотечественников, проживающих за рубежом, утвержденной постановлением Правительства Курганской области от 29 июля 2013 года № 364 «О государственной программе Курганской области по оказанию содействия добровольному переселению в Курганскую область соотечественников, проживающих за рубежом» (далее – соотечественники, программа содействия переселению);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г) граждане Российской Федерации, являющиеся членами казачьих обществ в Российской Федерации и осуществляющих деятельность на территории Курганской области (далее – члены казачьих обществ).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Поддержка на строительство (приобретение) индивидуальных жилых домов предоставляется в целях осуществления строительства индивидуального жилого дома или приобретения вновь введенного в эксплуатацию индивидуального жилого дома на территории Курганской области, за исключением строительства индивидуального жилого дома или приобретения вновь введенного в эксплуатацию индивидуального жилого дома на земельных участках, находящихся в границах зон затопления, на территориях сильного подтопления – при глубине залегания грунтовых вод менее 0,3 метра в границах зон подтопления и (или) расположенных на территориях садоводческих, огороднических и дачных некоммерческих товариществ.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Заявитель может обратиться за предоставлением услуг лично или через своего уполномоченного представителя (далее – представитель заявителя).</w:t>
            </w:r>
          </w:p>
        </w:tc>
      </w:tr>
      <w:tr>
        <w:trPr>
          <w:trHeight w:val="821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 Для предоставления поддержки на строительство (приобретение) индивидуальных жилых домов получатели поддержки – заявитель (представитель заявителя) предоставляет следующие документы: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1.1. Заявление согласно форме, приведённой в приложении № 4 к Порядку.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1.2. Документ, подтверждающий полномочия представителя заявителя (при обращении представителя заявителя).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1.3. Паспорт гражданина Российской Федерации заявителя.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1.4. Свидетельства о рождении заявителя и его супруга(ги) (при наличии), свидетельство о рождении (усыновлении) на всех несовершеннолетних членов семьи, паспорт гражданина Российской Федерации или иной документ, удостоверяющий личность всех членов семьи заявителя старше 14 лет.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1.5. Свидетельство о заключении (расторжении) брака или справка о заключении (расторжении) брака, выданная органами записи актов гражданского состояния.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1.6. Справку из образовательной организации, подтверждающую обучение ребенка старше 18 лет в образовательной организации по очной форме обучения (для заявителей, имеющих ребенка (детей) в возрасте от 18 до 23 лет, обучающегося (обучающихся) в образовательной организации по очной форме обучения), выданная не ранее чем за 30 календарных дней до даты её предоставления в МФЦ.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1.7. Справку из медицинских организаций о том, что заявитель и его супруг(а) (при наличии) не состоит (ят) на диспансерном учете в связи с лечением от алкоголизма, наркомании, токсикомании, хронических и затяжных психических расстройств, выданные не ранее чем за 12 месяцев до даты их представления в МФЦ.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1.8. Удостоверение (справку) о том, что семья является многодетной (для заявителей, которые относятся к категории «многодетная семья»).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1.9. Копию трудовой книжки или сведения о трудовой деятельности с записью о работе в настоящее время, подготовленные не ранее чем за 30 календарных дней до даты её предоставления в МФЦ (для заявителей, которые относятся к категории «работники бюджетных организаций», «работники ОПК», «водители транспортных средств», «сотрудники УМВД по Курганской области», «работники АПК», работающие по трудовому договору).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1.10. Выписку из Единого реестра индивидуальных предпринимателей, выданная не ранее чем за 30 календарных дней до даты её предоставления в МФЦ (для заявителей, которые относятся к категории «работники АПК», осуществляющих индивидуальную предпринимательскую деятельность).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1.11. Свидетельство участника программы содействия переселению (для заявителей, которые относятся к категории «соотечественники»).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1.12. Удостоверение казака (для заявителей, которые относятся к категории «члены казачьих обществ»).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1.1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3. </w:t>
            </w:r>
            <w:r>
              <w:rPr>
                <w:b/>
                <w:bCs/>
                <w:i w:val="false"/>
                <w:strike w:val="false"/>
                <w:dstrike w:val="false"/>
                <w:sz w:val="22"/>
                <w:szCs w:val="22"/>
                <w:u w:val="single"/>
              </w:rPr>
              <w:t>Для участников СВО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: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- справка о подтверждении факта участия  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гражданина 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област.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1.1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4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. </w:t>
            </w:r>
            <w:r>
              <w:rPr>
                <w:b/>
                <w:i w:val="false"/>
                <w:strike w:val="false"/>
                <w:dstrike w:val="false"/>
                <w:sz w:val="22"/>
                <w:szCs w:val="22"/>
                <w:u w:val="single"/>
              </w:rPr>
              <w:t>Для членов семьи участников СВО</w:t>
            </w:r>
            <w:r>
              <w:rPr>
                <w:b/>
                <w:i w:val="false"/>
                <w:strike w:val="false"/>
                <w:dstrike w:val="false"/>
                <w:sz w:val="22"/>
                <w:szCs w:val="22"/>
                <w:u w:val="none"/>
              </w:rPr>
              <w:t>: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- 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 свидетельство о смерти участника СВО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 документы, подтверждающие гибель, смерть вследствие увечья (контузии, травмы, ранения), полученных в ходе боевых действий, в ходе специальной военной операции</w:t>
            </w:r>
          </w:p>
          <w:p>
            <w:pPr>
              <w:pStyle w:val="Defaul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1.1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5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</w:t>
            </w:r>
            <w:r>
              <w:rPr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Для водителей транспортных предприятий</w:t>
            </w: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:</w:t>
            </w:r>
          </w:p>
          <w:p>
            <w:pPr>
              <w:pStyle w:val="Default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 копия водительского удостоверения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6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. Согласие субъекта на обработку персональных данных в соответствии с требованиями Федерального закона от 27.07.2006 № 152-ФЗ «О персональных данных» заявителя и всех членов его семьи (приложение № 5 к Порядку). Данные согласия на обработку персональных данных передаются Обществу с документами, которые предоставил заявитель для оказания услуги.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7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 xml:space="preserve"> Согласие субъекта на обработку персональных данных в соответствии с требованиями Федерального закона от 27.07.2006 № 152-ФЗ «О персональных данных» по форме, утвержденной приказом МФЦ от 29.10.2021 № 177 «Об утверждении Положения об обработке персональных данных», заявителя и всех членов его семьи. Данные согласия на обработку персональных данных хранятся в МФЦ в соответствии с требованиями приказа МФЦ от 29.10.2021 № 177 «Об утверждении Положения об обработке персональных данных».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8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. Согласия заявителя и членов его семьи на осуществление Департаментом экономического развития Курганской области проверок соблюдения порядка и условий предоставления субсидии Обществом, в том числе в части достижения результатов её предоставления, а также проверок органами государственного финансового контроля Курганской области в соответствии со статьями 2681 и 2692 Бюджетного кодекса Российской Федерации (приложение № 6 к Порядку).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9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. Информацию о банковском счёте, который открыт на имя получателя поддержки для перечисления денежных средств.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20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. Для получения поддержки на строительство (приобретение) индивидуального жилого дома в целях осуществления строительства заявитель дополнительно предоставляет следующие документы: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а) выписку ЕГРН на земельный участок, на котором планируется осуществить строительство жилого дома;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б) договор аренды земельного участка, на котором планируется осуществить строительство жилого дома (в случае отсутствия сведений о правообладателе земельного участка в ЕГРН);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в) разрешение на строительство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г) смету строительства жилого дома, отражающую сметную стоимость материалов и работ по строительству, в том числе по подведению коммуникаций и отделке;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д) проектную документацию на строительство жилого дома;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е) справку (копия решения Думы муниципального округа), выданную органом местного самоуправления, об учётной норме площади жилого помещения;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ж) документы, подтверждающие наличие собственных и (или) заемных средств (не менее 30% от сметной стоимости);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з) фотоотчёт земельного участка.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lang w:eastAsia="ru-RU"/>
              </w:rPr>
              <w:t>.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21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. Для получения поддержки на строительство (приобретение) индивидуального жилого дома в целях осуществления приобретения вновь введённого в эксплуатацию жилого дома заявитель дополнительно предоставляет следующие документы: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а) выписки ЕГРН на приобретаемый жилой дом и земельный участок, на котором расположен жилой дом, где собственником указан продавец;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б) договор купли-продажи, выписки ЕГРН на приобретённый жилой дом и земельный участок, где собственником указан покупатель (получатель поддержки);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в) справка (копия решения Думы муниципального округа), выданная органом местного самоуправления, об учётной норме площади жилого помещения;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г) документы, подтверждающие наличие собственных и (или) заемных средств (не менее 30% от стоимости жилого дома);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д) предварительный договор купли-продажи жилого дома;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ж) фотоотчёт приобретённого жилого дома и земельного участка.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Документы, указанные в подпунктах 8.2 – 8.12, 8.17, 8.18 пункта 8 Порядка предоставляются в копиях заявителем. При этом работник МФЦ,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 Оригиналы указанных документов возвращаются заявителю, копии данных документов приобщаются к комплекту документов, передаваемых в Общество.</w:t>
            </w:r>
          </w:p>
        </w:tc>
      </w:tr>
      <w:tr>
        <w:trPr>
          <w:trHeight w:val="1671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tabs>
                <w:tab w:val="clear" w:pos="708"/>
                <w:tab w:val="right" w:pos="2186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themeColor="accent4" w:themeShade="80"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Основанием для отказа в приеме документов по услугам Общества в МФЦ является: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1.1. Не установлена личность лица, обратившегося за предоставлением услуг, в том числе не предъявлен документ, удостоверяющий личность такого лица, истек срок действия документа, удостоверяющего личность заявителя, или лицо, представляющее заявление и прилагаемые к нему документы, отказалось предъявить документ, удостоверяющий его личность.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1.2. Непредставление обязательных документов.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themeColor="accent4" w:themeShade="80" w:val="40315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Стоимость и порядок оплаты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С заявителя плата в МФЦ не взимается</w:t>
            </w:r>
          </w:p>
        </w:tc>
      </w:tr>
      <w:tr>
        <w:trPr>
          <w:trHeight w:val="1389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Срок оказания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Документы, предоставленные заявителем, передаются в Общество ежедневно с 08:00 до 17:00, обед с 12:00 до 13:00 (кроме выходных), в срок не позднее 5 (пяти) рабочих дней, следующих за днем приема от заявителя документов в МФЦ.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Рассмотрение документов Обществом осуществляется в течение 10 рабочих дней со дня получения Обществом информации о ранее предоставленных мерах поддержки, полного комплекта документов.</w:t>
            </w:r>
          </w:p>
        </w:tc>
      </w:tr>
      <w:tr>
        <w:trPr>
          <w:trHeight w:val="2438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70C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lang w:eastAsia="ru-RU"/>
              </w:rPr>
              <w:t>Взаимодействие с организациями при выполнении функции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27e42"/>
    <w:pPr>
      <w:spacing w:lineRule="auto" w:line="240" w:beforeAutospacing="1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LibreOffice/25.2.0.3$Windows_X86_64 LibreOffice_project/e1cf4a87eb02d755bce1a01209907ea5ddc8f069</Application>
  <AppVersion>15.0000</AppVersion>
  <Pages>5</Pages>
  <Words>1609</Words>
  <Characters>11323</Characters>
  <CharactersWithSpaces>12863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2025-04-03T04:30:00Z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2025-10-24T16:04:41Z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