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363" w:type="dxa"/>
        <w:jc w:val="left"/>
        <w:tblInd w:w="599" w:type="dxa"/>
        <w:tblLayout w:type="fixed"/>
        <w:tblCellMar>
          <w:top w:w="150" w:type="dxa"/>
          <w:left w:w="150" w:type="dxa"/>
          <w:bottom w:w="150" w:type="dxa"/>
          <w:right w:w="150" w:type="dxa"/>
        </w:tblCellMar>
        <w:tblLook w:firstRow="1" w:noVBand="1" w:lastRow="0" w:firstColumn="1" w:lastColumn="0" w:noHBand="0" w:val="04a0"/>
      </w:tblPr>
      <w:tblGrid>
        <w:gridCol w:w="2834"/>
        <w:gridCol w:w="12528"/>
      </w:tblGrid>
      <w:tr>
        <w:trPr/>
        <w:tc>
          <w:tcPr>
            <w:tcW w:w="2834"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Наименование услуги</w:t>
            </w:r>
          </w:p>
        </w:tc>
        <w:tc>
          <w:tcPr>
            <w:tcW w:w="12528"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jc w:val="both"/>
              <w:rPr>
                <w:rFonts w:ascii="Arial" w:hAnsi="Arial" w:eastAsia="Times New Roman" w:cs="Arial"/>
                <w:b/>
                <w:color w:val="000000"/>
                <w:lang w:eastAsia="ru-RU"/>
              </w:rPr>
            </w:pPr>
            <w:r>
              <w:rPr>
                <w:rFonts w:cs="Arial" w:ascii="Arial" w:hAnsi="Arial"/>
                <w:b/>
                <w:bCs/>
                <w:color w:val="FF0000"/>
              </w:rPr>
              <w:t>Приём документов для предоставления поддержки на возмещение затрат на первоначальный взнос</w:t>
            </w:r>
          </w:p>
        </w:tc>
      </w:tr>
      <w:tr>
        <w:trPr/>
        <w:tc>
          <w:tcPr>
            <w:tcW w:w="2834"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Услугу оказывает</w:t>
            </w:r>
          </w:p>
        </w:tc>
        <w:tc>
          <w:tcPr>
            <w:tcW w:w="12528" w:type="dxa"/>
            <w:tcBorders>
              <w:top w:val="single" w:sz="6" w:space="0" w:color="EDEDED"/>
              <w:left w:val="single" w:sz="6" w:space="0" w:color="EDEDED"/>
              <w:bottom w:val="single" w:sz="6" w:space="0" w:color="EDEDED"/>
              <w:right w:val="single" w:sz="6" w:space="0" w:color="EDEDED"/>
            </w:tcBorders>
            <w:shd w:color="auto" w:fill="auto" w:val="clear"/>
          </w:tcPr>
          <w:p>
            <w:pPr>
              <w:pStyle w:val="NormalWeb"/>
              <w:spacing w:before="0" w:after="0"/>
              <w:ind w:hanging="0"/>
              <w:rPr>
                <w:rFonts w:ascii="Arial" w:hAnsi="Arial" w:cs="Arial"/>
                <w:b/>
                <w:color w:val="000000"/>
                <w:sz w:val="22"/>
                <w:szCs w:val="22"/>
              </w:rPr>
            </w:pPr>
            <w:r>
              <w:rPr>
                <w:rFonts w:cs="Arial" w:ascii="Arial" w:hAnsi="Arial"/>
                <w:color w:val="000000"/>
                <w:sz w:val="22"/>
                <w:szCs w:val="22"/>
              </w:rPr>
              <w:t>Акционерное общество «Курганская ипотечно-жилищная корпорация»</w:t>
            </w:r>
          </w:p>
        </w:tc>
      </w:tr>
      <w:tr>
        <w:trPr/>
        <w:tc>
          <w:tcPr>
            <w:tcW w:w="2834"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Результат</w:t>
            </w:r>
          </w:p>
        </w:tc>
        <w:tc>
          <w:tcPr>
            <w:tcW w:w="12528" w:type="dxa"/>
            <w:tcBorders>
              <w:top w:val="single" w:sz="6" w:space="0" w:color="EDEDED"/>
              <w:left w:val="single" w:sz="6" w:space="0" w:color="EDEDED"/>
              <w:bottom w:val="single" w:sz="6" w:space="0" w:color="EDEDED"/>
              <w:right w:val="single" w:sz="6" w:space="0" w:color="EDEDED"/>
            </w:tcBorders>
            <w:shd w:color="auto" w:fill="auto" w:val="clear"/>
          </w:tcPr>
          <w:p>
            <w:pPr>
              <w:pStyle w:val="NormalWeb"/>
              <w:spacing w:before="0" w:after="0"/>
              <w:ind w:hanging="0"/>
              <w:rPr>
                <w:rFonts w:ascii="Arial" w:hAnsi="Arial" w:cs="Arial"/>
                <w:color w:val="000000"/>
                <w:sz w:val="22"/>
                <w:szCs w:val="22"/>
              </w:rPr>
            </w:pPr>
            <w:r>
              <w:rPr>
                <w:rFonts w:cs="Arial" w:ascii="Arial" w:hAnsi="Arial"/>
                <w:color w:val="000000"/>
                <w:sz w:val="22"/>
                <w:szCs w:val="22"/>
              </w:rPr>
              <w:t>Результатом предоставления услуг является принятие Обществом решения о предоставлении поддержки либо отказе в предоставлении поддержки.</w:t>
            </w:r>
          </w:p>
          <w:p>
            <w:pPr>
              <w:pStyle w:val="NormalWeb"/>
              <w:spacing w:before="280" w:after="0"/>
              <w:ind w:hanging="0"/>
              <w:rPr>
                <w:rFonts w:ascii="Arial" w:hAnsi="Arial" w:cs="Arial"/>
                <w:color w:val="000000"/>
                <w:sz w:val="22"/>
                <w:szCs w:val="22"/>
              </w:rPr>
            </w:pPr>
            <w:r>
              <w:rPr>
                <w:rFonts w:cs="Arial" w:ascii="Arial" w:hAnsi="Arial"/>
                <w:color w:val="000000"/>
                <w:sz w:val="22"/>
                <w:szCs w:val="22"/>
              </w:rPr>
              <w:t>Передача результата предоставления услуги в МФЦ не предусмотрена. С момента поступления документов в Общество взаимодействие с заявителем по вопросам, связанным с процедурой предоставления услуг, осуществляется Обществом.</w:t>
            </w:r>
          </w:p>
        </w:tc>
      </w:tr>
      <w:tr>
        <w:trPr>
          <w:trHeight w:val="2610" w:hRule="atLeast"/>
        </w:trPr>
        <w:tc>
          <w:tcPr>
            <w:tcW w:w="2834"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Круг заявителей</w:t>
            </w:r>
          </w:p>
        </w:tc>
        <w:tc>
          <w:tcPr>
            <w:tcW w:w="12528"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ind w:hanging="0"/>
              <w:jc w:val="both"/>
              <w:rPr/>
            </w:pPr>
            <w:r>
              <w:rPr>
                <w:rFonts w:eastAsia="Times New Roman" w:cs="Arial" w:ascii="Arial" w:hAnsi="Arial"/>
                <w:color w:val="000000"/>
                <w:lang w:eastAsia="ru-RU"/>
              </w:rPr>
              <w:t>Получателями поддержки на возмещение затрат на первоначальный взнос являются граждане Российской Федерации, зарегистрированные по месту жительства на территории Курганской области:</w:t>
            </w:r>
          </w:p>
          <w:p>
            <w:pPr>
              <w:pStyle w:val="Normal"/>
              <w:spacing w:lineRule="auto" w:line="240" w:before="0" w:after="0"/>
              <w:ind w:hanging="0"/>
              <w:jc w:val="both"/>
              <w:rPr/>
            </w:pPr>
            <w:r>
              <w:rPr>
                <w:rFonts w:eastAsia="Times New Roman" w:cs="Arial" w:ascii="Arial" w:hAnsi="Arial"/>
                <w:color w:val="000000"/>
                <w:lang w:eastAsia="ru-RU"/>
              </w:rPr>
              <w:t>- семьи, возраст обоих супругов в которых не превышает 45 лет, либо неполные семьи, состоящие из одного родителя, возраст которого не превышает 45 лет, и одного и более детей, в том числе усыновленных, в возрасте до 18 лет и (или) в возрасте до 23 лет, обучающихся в образовательных организациях по очной форме обучения;</w:t>
            </w:r>
          </w:p>
          <w:p>
            <w:pPr>
              <w:pStyle w:val="Normal"/>
              <w:spacing w:lineRule="auto" w:line="240" w:before="0" w:after="0"/>
              <w:ind w:hanging="0"/>
              <w:jc w:val="both"/>
              <w:rPr/>
            </w:pPr>
            <w:r>
              <w:rPr>
                <w:rFonts w:eastAsia="Times New Roman" w:cs="Arial" w:ascii="Arial" w:hAnsi="Arial"/>
                <w:color w:val="000000"/>
                <w:lang w:eastAsia="ru-RU"/>
              </w:rPr>
              <w:t>- многодетные семьи (семьи с тремя и более детьми, находящимися на иждивении);</w:t>
            </w:r>
          </w:p>
          <w:p>
            <w:pPr>
              <w:pStyle w:val="Normal"/>
              <w:spacing w:lineRule="auto" w:line="240" w:before="0" w:after="0"/>
              <w:ind w:hanging="0"/>
              <w:jc w:val="both"/>
              <w:rPr/>
            </w:pPr>
            <w:r>
              <w:rPr>
                <w:rFonts w:eastAsia="Times New Roman" w:cs="Arial" w:ascii="Arial" w:hAnsi="Arial"/>
                <w:color w:val="000000"/>
                <w:lang w:eastAsia="ru-RU"/>
              </w:rPr>
              <w:t>- граждане, проживающие в сельских поселениях и сельских населенных пунктах, находящихся на территории Курганской области, для строительства и приобретения индивидуальных жилых домов в сельских поселениях Курганской области и сельских населенных пунктах, а также для приобретения квартир в строящихся и во вновь введенных в эксплуатацию многоквартирных жилых домах в сельских поселениях Курганской области;</w:t>
            </w:r>
          </w:p>
          <w:p>
            <w:pPr>
              <w:pStyle w:val="Normal"/>
              <w:spacing w:lineRule="auto" w:line="240" w:before="0" w:after="0"/>
              <w:ind w:hanging="0"/>
              <w:jc w:val="both"/>
              <w:rPr/>
            </w:pPr>
            <w:r>
              <w:rPr>
                <w:rFonts w:eastAsia="Times New Roman" w:cs="Arial" w:ascii="Arial" w:hAnsi="Arial"/>
                <w:color w:val="000000"/>
                <w:lang w:eastAsia="ru-RU"/>
              </w:rPr>
              <w:t>- медицинские работники медицинских организаций государственной системы здравоохранения и муниципальной системы здравоохранения, расположенных на территории Курганской области, и педагогические работники государственных и муниципальных образовательных организаций, расположенных на территории Курганской области, а также семьи, в которых один или оба супруга являются работниками бюджетных организаций (далее – работники бюджетных организаций);</w:t>
            </w:r>
          </w:p>
          <w:p>
            <w:pPr>
              <w:pStyle w:val="Normal"/>
              <w:spacing w:lineRule="auto" w:line="240" w:before="0" w:after="0"/>
              <w:ind w:hanging="0"/>
              <w:jc w:val="both"/>
              <w:rPr/>
            </w:pPr>
            <w:r>
              <w:rPr>
                <w:rFonts w:eastAsia="Times New Roman" w:cs="Arial" w:ascii="Arial" w:hAnsi="Arial"/>
                <w:color w:val="000000"/>
                <w:lang w:eastAsia="ru-RU"/>
              </w:rPr>
              <w:t>- работники предприятий оборонно-промышленного комплекса, осуществляющих деятельность на территории Курганской области, а также семьи, в которых один или оба супруга являются работниками предприятий оборонно-промышленного комплекса (далее – работники ОПК);</w:t>
            </w:r>
          </w:p>
          <w:p>
            <w:pPr>
              <w:pStyle w:val="Normal"/>
              <w:spacing w:lineRule="auto" w:line="240" w:before="0" w:after="0"/>
              <w:ind w:hanging="0"/>
              <w:jc w:val="both"/>
              <w:rPr>
                <w:rFonts w:ascii="Arial" w:hAnsi="Arial" w:eastAsia="Times New Roman" w:cs="Arial"/>
                <w:color w:val="000000"/>
                <w:lang w:eastAsia="ru-RU"/>
              </w:rPr>
            </w:pPr>
            <w:r>
              <w:rPr>
                <w:rFonts w:eastAsia="Times New Roman" w:cs="Arial" w:ascii="Arial" w:hAnsi="Arial"/>
                <w:color w:val="000000"/>
                <w:lang w:eastAsia="ru-RU"/>
              </w:rPr>
              <w:t>- водители, которым предоставлено право на управление транспортными средствами категории «D», являющиеся работниками юридических лиц и индивидуальных предпринимателей, осуществляющих перевозки пассажиров и багажа по межмуниципальным и (или) муници</w:t>
            </w:r>
            <w:bookmarkStart w:id="0" w:name="_GoBack"/>
            <w:bookmarkEnd w:id="0"/>
            <w:r>
              <w:rPr>
                <w:rFonts w:eastAsia="Times New Roman" w:cs="Arial" w:ascii="Arial" w:hAnsi="Arial"/>
                <w:color w:val="000000"/>
                <w:lang w:eastAsia="ru-RU"/>
              </w:rPr>
              <w:t>пальным маршрутам регулярных перевозок на основании свидетельства об осуществлении перевозок по межмуниципальному и (или) муниципальному маршруту регулярных перевозок, либо государственного или муниципального контракта на выполнение работ, связанных с осуществлением регулярных перевозок по регулируемым тарифам по межмуниципальному и (или) муниципальному маршруту регулярных перевозок, а также семьи, в которых один или оба супруга являются водителями транспортных предприятий (далее – водители транспортных средств).</w:t>
            </w:r>
          </w:p>
          <w:p>
            <w:pPr>
              <w:pStyle w:val="Default"/>
              <w:spacing w:before="0" w:after="0"/>
              <w:ind w:hanging="0"/>
              <w:jc w:val="left"/>
              <w:rPr>
                <w:shd w:fill="FFFFD7" w:val="clear"/>
              </w:rPr>
            </w:pPr>
            <w:r>
              <w:rPr>
                <w:strike w:val="false"/>
                <w:dstrike w:val="false"/>
                <w:sz w:val="22"/>
                <w:u w:val="none"/>
                <w:shd w:fill="FFFFD7" w:val="clear"/>
              </w:rPr>
              <w:t>-</w:t>
            </w:r>
            <w:r>
              <w:rPr>
                <w:strike w:val="false"/>
                <w:dstrike w:val="false"/>
                <w:color w:val="800080"/>
                <w:sz w:val="22"/>
                <w:u w:val="none"/>
                <w:shd w:fill="auto" w:val="clear"/>
              </w:rPr>
              <w:t xml:space="preserve"> граждане,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участники СВО);</w:t>
            </w:r>
          </w:p>
          <w:p>
            <w:pPr>
              <w:pStyle w:val="Default"/>
              <w:spacing w:lineRule="auto" w:line="240" w:before="0" w:after="0"/>
              <w:ind w:hanging="0"/>
              <w:jc w:val="both"/>
              <w:rPr>
                <w:rFonts w:ascii="Arial" w:hAnsi="Arial" w:eastAsia="Times New Roman" w:cs="Arial"/>
                <w:strike w:val="false"/>
                <w:dstrike w:val="false"/>
                <w:color w:val="800080"/>
                <w:sz w:val="22"/>
                <w:highlight w:val="none"/>
                <w:u w:val="none"/>
                <w:shd w:fill="auto" w:val="clear"/>
                <w:lang w:eastAsia="ru-RU"/>
              </w:rPr>
            </w:pPr>
            <w:r>
              <w:rPr>
                <w:rFonts w:eastAsia="Times New Roman" w:cs="Arial"/>
                <w:strike w:val="false"/>
                <w:dstrike w:val="false"/>
                <w:color w:val="800080"/>
                <w:sz w:val="22"/>
                <w:u w:val="none"/>
                <w:shd w:fill="auto" w:val="clear"/>
                <w:lang w:eastAsia="ru-RU"/>
              </w:rPr>
              <w:t>- родители, дети, вдовы (вдовцы) участников СВО погибших (умерших) вследствие увечья (контузии, травмы, ранения), полученных в ходе специальной военной операции (далее – члены семей участников СВО).</w:t>
            </w:r>
          </w:p>
          <w:p>
            <w:pPr>
              <w:pStyle w:val="Normal"/>
              <w:widowControl/>
              <w:tabs>
                <w:tab w:val="clear" w:pos="708"/>
                <w:tab w:val="left" w:pos="709" w:leader="none"/>
              </w:tabs>
              <w:suppressAutoHyphens w:val="false"/>
              <w:spacing w:lineRule="auto" w:line="240" w:before="0" w:after="0"/>
              <w:ind w:hanging="0" w:right="0"/>
              <w:jc w:val="both"/>
              <w:textAlignment w:val="auto"/>
              <w:rPr>
                <w:rFonts w:ascii="Arial" w:hAnsi="Arial" w:eastAsia="Arial" w:cs="Arial"/>
              </w:rPr>
            </w:pPr>
            <w:r>
              <w:rPr>
                <w:rFonts w:eastAsia="Arial" w:cs="Arial" w:ascii="Arial" w:hAnsi="Arial"/>
              </w:rPr>
              <w:t>Поддержка на оплату первоначального взноса при ипотечном кредитовании в Курганской области предоставляется заемщикам, оплатившим первоначальный взнос:</w:t>
            </w:r>
          </w:p>
          <w:p>
            <w:pPr>
              <w:pStyle w:val="Normal"/>
              <w:widowControl/>
              <w:tabs>
                <w:tab w:val="clear" w:pos="708"/>
                <w:tab w:val="left" w:pos="709" w:leader="none"/>
              </w:tabs>
              <w:suppressAutoHyphens w:val="false"/>
              <w:spacing w:lineRule="auto" w:line="240" w:before="0" w:after="0"/>
              <w:ind w:hanging="0" w:right="0"/>
              <w:jc w:val="both"/>
              <w:textAlignment w:val="auto"/>
              <w:rPr>
                <w:rFonts w:ascii="Arial" w:hAnsi="Arial"/>
                <w:b w:val="false"/>
                <w:bCs w:val="false"/>
              </w:rPr>
            </w:pPr>
            <w:r>
              <w:rPr>
                <w:rFonts w:eastAsia="Arial" w:cs="Arial" w:ascii="Arial" w:hAnsi="Arial"/>
                <w:b w:val="false"/>
                <w:bCs w:val="false"/>
              </w:rPr>
              <w:t>а)</w:t>
            </w:r>
            <w:r>
              <w:rPr>
                <w:rFonts w:eastAsia="Arial" w:cs="Arial" w:ascii="Arial" w:hAnsi="Arial"/>
                <w:b/>
                <w:bCs/>
                <w:color w:val="780373"/>
              </w:rPr>
              <w:t xml:space="preserve"> при строительстве и приобретении индивидуального жилого дома</w:t>
            </w:r>
            <w:r>
              <w:rPr>
                <w:rFonts w:eastAsia="Arial" w:cs="Arial" w:ascii="Arial" w:hAnsi="Arial"/>
                <w:b w:val="false"/>
                <w:bCs w:val="false"/>
              </w:rPr>
              <w:t xml:space="preserve"> на территории Курганской области, </w:t>
            </w:r>
            <w:r>
              <w:rPr>
                <w:rFonts w:eastAsia="Arial" w:cs="Arial" w:ascii="Arial" w:hAnsi="Arial"/>
                <w:b w:val="false"/>
                <w:bCs w:val="false"/>
                <w:sz w:val="22"/>
                <w:szCs w:val="22"/>
                <w:shd w:fill="auto" w:val="clear"/>
              </w:rPr>
              <w:t xml:space="preserve">расположенного на земельных участках, находящихся в государственной собственности Курганской области или муниципальной собственности, или земельных участках, государственная собственность на которые не разграничена, либо на земельных участках, предоставленных под комплексное развитие территорий у застройщика (юридического лица либо индивидуального предпринимателя, построившего индивидуальный жилой дом согласно проекту строительства), за исключением строительства индивидуального жилого дома или приобретения индивидуального жилого дома на земельных участках, находящихся в границах зон затопления, на территориях сильного подтопления - при глубине залегания грунтовых вод менее 0,3 метра в границах зон подтопления и (или) расположенных на территориях садоводческих, огороднических и дачных некоммерческих товариществ. Поддержка предоставляется также </w:t>
            </w:r>
            <w:r>
              <w:rPr>
                <w:rFonts w:cs="Arial" w:ascii="Arial" w:hAnsi="Arial"/>
                <w:b w:val="false"/>
                <w:bCs w:val="false"/>
                <w:sz w:val="22"/>
                <w:szCs w:val="22"/>
              </w:rPr>
              <w:t>в целях осуществления строительства индивидуального жилого дома на земельных участках, расположенных на территории Курганской области и бесплатно предоставленных гражданам имеющим трех и более детей, за исключением строительства индивидуального жилого дома на земельных участках, находящихся в границах зон затопления, на территориях сильного подтопления - при глубине залегания грунтовых вод менее 0,3 метра в границах зон подтопления и (или) расположенных на территориях садоводческих, огороднических и дачных некоммерческих товариществ</w:t>
            </w:r>
            <w:r>
              <w:rPr>
                <w:rFonts w:cs="Arial" w:ascii="Arial" w:hAnsi="Arial"/>
                <w:b w:val="false"/>
                <w:bCs w:val="false"/>
                <w:sz w:val="24"/>
                <w:szCs w:val="24"/>
              </w:rPr>
              <w:t>.</w:t>
            </w:r>
          </w:p>
          <w:p>
            <w:pPr>
              <w:pStyle w:val="Normal"/>
              <w:widowControl/>
              <w:tabs>
                <w:tab w:val="clear" w:pos="708"/>
                <w:tab w:val="left" w:pos="709" w:leader="none"/>
              </w:tabs>
              <w:suppressAutoHyphens w:val="false"/>
              <w:spacing w:lineRule="auto" w:line="240" w:before="0" w:after="0"/>
              <w:ind w:hanging="0" w:right="0"/>
              <w:jc w:val="both"/>
              <w:textAlignment w:val="auto"/>
              <w:rPr>
                <w:rFonts w:ascii="Arial" w:hAnsi="Arial"/>
              </w:rPr>
            </w:pPr>
            <w:r>
              <w:rPr>
                <w:rFonts w:eastAsia="Arial" w:cs="Arial" w:ascii="Arial" w:hAnsi="Arial"/>
                <w:sz w:val="20"/>
                <w:szCs w:val="20"/>
              </w:rPr>
              <w:t>б)</w:t>
            </w:r>
            <w:r>
              <w:rPr>
                <w:rFonts w:eastAsia="Arial" w:cs="Arial" w:ascii="Arial" w:hAnsi="Arial"/>
              </w:rPr>
              <w:t xml:space="preserve"> </w:t>
            </w:r>
            <w:r>
              <w:rPr>
                <w:rFonts w:eastAsia="Arial" w:cs="Arial" w:ascii="Arial" w:hAnsi="Arial"/>
                <w:b/>
                <w:bCs/>
                <w:color w:val="780373"/>
              </w:rPr>
              <w:t>при приобретении квартир</w:t>
            </w:r>
            <w:r>
              <w:rPr>
                <w:rFonts w:eastAsia="Arial" w:cs="Arial" w:ascii="Arial" w:hAnsi="Arial"/>
              </w:rPr>
              <w:t xml:space="preserve"> в строящихся и во вновь введенных в эксплуатацию многоквартирных жилых домах на территории Курганской области, в отношении которых заемщиками, оплатившими первоначальный взнос, подписаны с застройщиком договоры участия в долевом строительстве, или принадлежащих застройщику на праве собственности. Приобретенный (построенный) индивидуальный жилой дом должен быть пригодным для постоянного проживания, электрифицирован, иметь водоснабжение, водоотведение, отопление, газоснабжение (если это предусмотрено проектом), при этом общая площадь индивидуального жилого дома в расчете на каждого члена семьи не должна быть меньше учетной нормы общей площади жилого помещения, установленной органом местного самоуправления по месту нахождения приобретенного или построенного индивидуального жилого дома.Срок, прошедший с момента ввода в эксплуатацию вновь построенного индивидуального жилого дома и до момента подписания договора купли-продажи индивидуального жилого дома между заемщиком, оплатившим первоначальный взнос, и застройщиком, не должен превышать трех лет.</w:t>
            </w:r>
          </w:p>
          <w:p>
            <w:pPr>
              <w:pStyle w:val="Normal"/>
              <w:widowControl/>
              <w:tabs>
                <w:tab w:val="clear" w:pos="708"/>
                <w:tab w:val="left" w:pos="709" w:leader="none"/>
              </w:tabs>
              <w:suppressAutoHyphens w:val="false"/>
              <w:spacing w:lineRule="auto" w:line="240" w:before="0" w:after="0"/>
              <w:ind w:hanging="0" w:right="0"/>
              <w:jc w:val="both"/>
              <w:textAlignment w:val="auto"/>
              <w:rPr>
                <w:rFonts w:ascii="Arial" w:hAnsi="Arial" w:eastAsia="Arial" w:cs="Arial"/>
              </w:rPr>
            </w:pPr>
            <w:r>
              <w:rPr>
                <w:rFonts w:eastAsia="Arial" w:cs="Arial" w:ascii="Arial" w:hAnsi="Arial"/>
              </w:rPr>
              <w:t xml:space="preserve">в) </w:t>
            </w:r>
            <w:r>
              <w:rPr>
                <w:rFonts w:eastAsia="Arial" w:cs="Arial" w:ascii="Arial" w:hAnsi="Arial"/>
                <w:b/>
                <w:bCs/>
                <w:color w:val="800080"/>
              </w:rPr>
              <w:t>при приобретении квартир</w:t>
            </w:r>
            <w:r>
              <w:rPr>
                <w:rFonts w:eastAsia="Arial" w:cs="Arial" w:ascii="Arial" w:hAnsi="Arial"/>
              </w:rPr>
              <w:t xml:space="preserve"> в строящихся и во вновь введенных в эксплуатацию малоэтажных многоквартирных жилых домах у застройщика, аккредитованного для участия в программе.</w:t>
            </w:r>
          </w:p>
          <w:p>
            <w:pPr>
              <w:pStyle w:val="Normal"/>
              <w:widowControl/>
              <w:tabs>
                <w:tab w:val="clear" w:pos="708"/>
                <w:tab w:val="left" w:pos="709" w:leader="none"/>
              </w:tabs>
              <w:suppressAutoHyphens w:val="false"/>
              <w:spacing w:lineRule="auto" w:line="240" w:before="0" w:after="0"/>
              <w:ind w:hanging="0" w:right="0"/>
              <w:jc w:val="both"/>
              <w:textAlignment w:val="auto"/>
              <w:rPr>
                <w:rFonts w:ascii="Arial" w:hAnsi="Arial" w:eastAsia="Times New Roman" w:cs="Arial"/>
                <w:color w:val="000000"/>
                <w:lang w:eastAsia="ru-RU"/>
              </w:rPr>
            </w:pPr>
            <w:r>
              <w:rPr>
                <w:rFonts w:eastAsia="Times New Roman" w:cs="Arial" w:ascii="Arial" w:hAnsi="Arial"/>
                <w:color w:val="000000"/>
                <w:lang w:eastAsia="ru-RU"/>
              </w:rPr>
              <w:t>Под малоэтажным многоквартирным домом понимается многоквартирный жилой дом высотой до 4 этажей, включая мансардный.</w:t>
            </w:r>
          </w:p>
        </w:tc>
      </w:tr>
      <w:tr>
        <w:trPr>
          <w:trHeight w:val="821" w:hRule="atLeast"/>
        </w:trPr>
        <w:tc>
          <w:tcPr>
            <w:tcW w:w="2834"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Обязательные документы</w:t>
            </w:r>
          </w:p>
        </w:tc>
        <w:tc>
          <w:tcPr>
            <w:tcW w:w="12528"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 Для предоставления поддержки на возмещение затрат на первоначальный взнос при ипотечном кредитовании в Курганской области заявитель (представитель заявителя) предоставляет следующие документы:</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1.1. Заявление согласно форме, приведённой в приложении № 3 к Порядку.</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1.2. Документ, подтверждающий полномочия представителя заявителя (при обращении представителя заявителя).</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1.3. Паспорт гражданина Российской Федерации заявителя.</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1.4. Свидетельства о рождении заявителя и его супруга(ги) (при наличии), свидетельство о рождении (усыновлении) на всех несовершеннолетних членов семьи, паспорт гражданина Российской Федерации или иной документ, удостоверяющий личность всех членов семьи заявителя старше 14 лет.</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1.5. Свидетельство о заключении (расторжении) брака или справка о заключении (расторжении) брака, выданная органами записи актов гражданского состояния.</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1.6. Справку из образовательной организации, подтверждающую обучение ребенка старше 18 лет в образовательной организации по очной форме обучения (для заявителей, имеющих ребенка (детей) в возрасте от 18 до 23 лет, обучающегося (обучающихся) в образовательной организации по очной форме обучения), выданная не ранее чем за 30 календарных дней до даты её предоставления в МФЦ.</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1.7. Справку из медицинских организаций о том, что заявитель и его супруг(га) (при наличии) не состоит (ят) на диспансерном учете в связи с лечением от алкоголизма, наркомании, токсикомании, хронических и затяжных психических расстройств, выданные не ранее чем за 12 месяцев до даты их представления в МФЦ.</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1.8. Удостоверение (справку) о том, что семья является многодетной (для заявителей, которые относятся к категории «многодетная семья»).</w:t>
            </w:r>
          </w:p>
          <w:p>
            <w:pPr>
              <w:pStyle w:val="Default"/>
              <w:jc w:val="both"/>
              <w:rPr>
                <w:rFonts w:ascii="Arial" w:hAnsi="Arial"/>
              </w:rPr>
            </w:pPr>
            <w:r>
              <w:rPr>
                <w:b w:val="false"/>
                <w:strike w:val="false"/>
                <w:dstrike w:val="false"/>
                <w:sz w:val="22"/>
                <w:u w:val="none"/>
              </w:rPr>
              <w:t xml:space="preserve">1.9. </w:t>
            </w:r>
            <w:r>
              <w:rPr>
                <w:b/>
                <w:bCs/>
                <w:strike w:val="false"/>
                <w:dstrike w:val="false"/>
                <w:sz w:val="22"/>
                <w:u w:val="none"/>
              </w:rPr>
              <w:t>Для участников СВО:</w:t>
            </w:r>
          </w:p>
          <w:p>
            <w:pPr>
              <w:pStyle w:val="Default"/>
              <w:jc w:val="both"/>
              <w:rPr>
                <w:rFonts w:ascii="Arial" w:hAnsi="Arial"/>
                <w:b w:val="false"/>
                <w:strike w:val="false"/>
                <w:dstrike w:val="false"/>
                <w:sz w:val="22"/>
                <w:u w:val="none"/>
              </w:rPr>
            </w:pPr>
            <w:r>
              <w:rPr>
                <w:b w:val="false"/>
                <w:strike w:val="false"/>
                <w:dstrike w:val="false"/>
                <w:sz w:val="22"/>
                <w:u w:val="none"/>
              </w:rPr>
              <w:t xml:space="preserve">-справка о подтверждении факта участия </w:t>
            </w:r>
            <w:r>
              <w:rPr>
                <w:b w:val="false"/>
                <w:strike w:val="false"/>
                <w:dstrike w:val="false"/>
                <w:sz w:val="22"/>
                <w:u w:val="none"/>
              </w:rPr>
              <w:t xml:space="preserve">гражданина </w:t>
            </w:r>
            <w:r>
              <w:rPr>
                <w:b w:val="false"/>
                <w:strike w:val="false"/>
                <w:dstrike w:val="false"/>
                <w:sz w:val="22"/>
                <w:u w:val="none"/>
              </w:rPr>
              <w:t>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Default"/>
              <w:jc w:val="both"/>
              <w:rPr>
                <w:rFonts w:ascii="Arial" w:hAnsi="Arial"/>
                <w:b/>
                <w:strike w:val="false"/>
                <w:dstrike w:val="false"/>
                <w:sz w:val="22"/>
                <w:u w:val="none"/>
              </w:rPr>
            </w:pPr>
            <w:r>
              <w:rPr>
                <w:b/>
                <w:strike w:val="false"/>
                <w:dstrike w:val="false"/>
                <w:sz w:val="22"/>
                <w:u w:val="none"/>
              </w:rPr>
              <w:t>Для членов семьи участников СВО:</w:t>
            </w:r>
          </w:p>
          <w:p>
            <w:pPr>
              <w:pStyle w:val="Default"/>
              <w:jc w:val="both"/>
              <w:rPr>
                <w:rFonts w:ascii="Arial" w:hAnsi="Arial"/>
                <w:b/>
                <w:strike w:val="false"/>
                <w:dstrike w:val="false"/>
                <w:sz w:val="22"/>
                <w:u w:val="none"/>
              </w:rPr>
            </w:pPr>
            <w:r>
              <w:rPr>
                <w:b/>
                <w:strike w:val="false"/>
                <w:dstrike w:val="false"/>
                <w:sz w:val="22"/>
                <w:u w:val="none"/>
              </w:rPr>
              <w:t>-</w:t>
            </w:r>
            <w:r>
              <w:rPr>
                <w:b w:val="false"/>
                <w:strike w:val="false"/>
                <w:dstrike w:val="false"/>
                <w:sz w:val="22"/>
                <w:u w:val="none"/>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Default"/>
              <w:jc w:val="both"/>
              <w:rPr>
                <w:rFonts w:ascii="Arial" w:hAnsi="Arial"/>
                <w:b w:val="false"/>
                <w:strike w:val="false"/>
                <w:dstrike w:val="false"/>
                <w:sz w:val="22"/>
                <w:u w:val="none"/>
              </w:rPr>
            </w:pPr>
            <w:r>
              <w:rPr>
                <w:b w:val="false"/>
                <w:strike w:val="false"/>
                <w:dstrike w:val="false"/>
                <w:sz w:val="22"/>
                <w:u w:val="none"/>
              </w:rPr>
              <w:t>-свидетельство о смерти участника СВО</w:t>
            </w:r>
          </w:p>
          <w:p>
            <w:pPr>
              <w:pStyle w:val="Default"/>
              <w:jc w:val="both"/>
              <w:rPr>
                <w:rFonts w:ascii="Arial" w:hAnsi="Arial"/>
                <w:b w:val="false"/>
                <w:strike w:val="false"/>
                <w:dstrike w:val="false"/>
                <w:sz w:val="22"/>
                <w:u w:val="none"/>
              </w:rPr>
            </w:pPr>
            <w:r>
              <w:rPr>
                <w:b w:val="false"/>
                <w:strike w:val="false"/>
                <w:dstrike w:val="false"/>
                <w:sz w:val="22"/>
                <w:u w:val="none"/>
              </w:rPr>
              <w:t>-документы, подтверждающие гибель, смерть вследствие увечья (контузии, травмы, ранения), полученных в ходе боевых действий, в ходе специальной военной операции</w:t>
            </w:r>
          </w:p>
          <w:p>
            <w:pPr>
              <w:pStyle w:val="Default"/>
              <w:jc w:val="both"/>
              <w:rPr>
                <w:rFonts w:ascii="Arial" w:hAnsi="Arial"/>
              </w:rPr>
            </w:pPr>
            <w:r>
              <w:rPr>
                <w:b w:val="false"/>
                <w:strike w:val="false"/>
                <w:dstrike w:val="false"/>
                <w:sz w:val="22"/>
                <w:u w:val="none"/>
              </w:rPr>
              <w:t xml:space="preserve">1.10. </w:t>
            </w:r>
            <w:r>
              <w:rPr>
                <w:b/>
                <w:strike w:val="false"/>
                <w:dstrike w:val="false"/>
                <w:sz w:val="22"/>
                <w:u w:val="none"/>
              </w:rPr>
              <w:t>Для водителей транспортных предприятий:</w:t>
            </w:r>
          </w:p>
          <w:p>
            <w:pPr>
              <w:pStyle w:val="Default"/>
              <w:spacing w:lineRule="auto" w:line="240" w:before="0" w:after="0"/>
              <w:jc w:val="both"/>
              <w:rPr>
                <w:rFonts w:ascii="Arial" w:hAnsi="Arial" w:eastAsia="Times New Roman" w:cs="Arial"/>
                <w:b w:val="false"/>
                <w:strike w:val="false"/>
                <w:dstrike w:val="false"/>
                <w:color w:val="000000"/>
                <w:sz w:val="22"/>
                <w:u w:val="none"/>
                <w:lang w:eastAsia="ru-RU"/>
              </w:rPr>
            </w:pPr>
            <w:r>
              <w:rPr>
                <w:rFonts w:eastAsia="Times New Roman" w:cs="Arial"/>
                <w:b w:val="false"/>
                <w:strike w:val="false"/>
                <w:dstrike w:val="false"/>
                <w:color w:val="000000"/>
                <w:sz w:val="22"/>
                <w:u w:val="none"/>
                <w:lang w:eastAsia="ru-RU"/>
              </w:rPr>
              <w:t>- копия водительского удостоверения</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1.11. Копию трудовой книжки или сведения о трудовой деятельности с записью о работе в настоящее время, подготовленные не ранее чем за 30 календарных дней до даты её предоставления в МФЦ (для заявителей, которые относятся к категории «работники бюджетных организаций», «работники ОПК», «водители транспортных средств»).</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1.12. Согласие субъекта на обработку персональных данных в соответствии с требованиями Федерального закона от 27.07.2006 № 152-ФЗ «О персональных данных» заявителя и всех членов его семьи (приложение № 5 к Порядку). Данные согласия на обработку персональных данных передаются Обществу с документами, которые предоставил заявитель для оказания услуги.</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1.13. Согласие субъекта на обработку персональных данных в соответствии с требованиями Федерального закона от 27.07.2006 № 152-ФЗ «О персональных данных» по форме, утвержденной Приказом МФЦ от 29.10.2021 № 177 «Об утверждении Положения об обработке персональных данных» заявителя и всех членов его семьи. Данные согласия на обработку персональных данных хранятся в МФЦ в соответствии с требованиями приказа МФЦ от 29.10.2021 № 177 «Об утверждении Положения об обработке персональных данных».</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1.14. Согласия заявителя и членов его семьи на осуществление Департаментом экономического развития Курганской области проверок соблюдения порядка и условий предоставления субсидии Обществом, в том числе в части достижения результатов её предоставления, а также проверок органами государственного финансового контроля Курганской области в соответствии со статьями 2681 и 2692 Бюджетного кодекса Российской Федерации (приложение № 6 к Порядку).</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1.15. Информацию о банковском счёте, который открыт на имя получателя поддержки для перечисления денежных средств.</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1.16. Для получения поддержки на оплату первоначального взноса при ипотечном кредитовании в Курганской области при приобретении квартир заявитель дополнительно предоставляет следующие документы:</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а) договор долевого участия (в случае приобретения жилого помещения на стадии строительства);</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б) договор купли-продажи, выписка из Единого государственного реестра недвижимости, подтверждающая права собственности на объект недвижимости (далее – ЕГРН, выписка ЕГРН) (в случае приобретения жилого помещения, которое принадлежало на праве собственности у застройщика);</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в) кредитный договор с банком, подтверждающий приобретение жилого помещения за счёт средств ипотечного кредитования;</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г) договор об открытии счёта «эскроу», выписка об оборотах по счёту заёмщика о зачислении и списании собственных и кредитных средств, выписка по счёту «эскроу» о зачислении средств (в случае расчёта с застройщиком на счёт «эскроу»);</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д) справку от застройщика о полной оплате, выписку об оборотах по счёту заёмщика и зачислении и списании собственных и кредитных средств (в случае если счёт «эскроу» не открывался).</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1.17. Для получения поддержки на оплату первоначального взноса при ипотечном кредитовании в Курганской области при приобретении индивидуального жилого дома (далее – жилой дом) заявитель дополнительно предоставляет следующие документы:</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а) выписки ЕГРН на приобретаемый жилой дом и земельный участок, на котором расположен жилой дом, где собственником указан продавец;</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б) договор купли-продажи, выписки ЕГРН на приобретённый жилой дом и земельный участок, где собственником указан покупатель (получатель поддержки);</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в) справку (копия решения Думы муниципального округа), выданную органом местного самоуправления, об учётной норме площади жилого помещения;</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г) кредитный договор с банком, подтверждающий приобретение жилого дома и земельного участка, на котором расположен жилой дом, за счёт средств ипотечного кредитования;</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д) документы, подтверждающие оплату за счет средств первоначального взноса приобретения жилого дома и земельного участка, на котором расположен жилой дом (документы от кредитной организации, подтверждающие внесение средств первоначального взноса по кредитному договору, документы, подтверждающие внесение средств первоначального взноса на расчетный счет, или в кассу застройщика);</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е) финансовые документы, подтверждающие выдачу банком ипотечного кредита: выписка об оборотах по счету заёмщика, отражающая поступление кредитных средств от банка;</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ж) фотоотчёт приобретённого жилого дома и земельного участка.</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1.18. Для получения поддержки на оплату первоначального взноса при ипотечном кредитовании в Курганской области при строительстве жилого дома заявитель дополнительно предоставляет следующие документы:</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а) зарегистрированный договор ипотеки и выписку ЕГРН на земельный участок, на котором планируется осуществить строительство жилого дома;</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б) договор аренды земельного участка, на котором планируется осуществить строительство жилого дома (в случае отсутствия сведений о правообладателе земельного участка в ЕГРН);</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в) разрешение на строительство 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г) смету строительства жилого дома, отражающую сметную стоимость материалов и работ по строительству, в том числе по подведению коммуникаций и отделке;</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д) проектную документацию на строительство жилого дома;</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е) справку (копия решения Думы муниципального округа), выданную органом местного самоуправления, об учётной норме площади жилого помещения;</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ж) документы (кассовые чеки), подтверждающие полную оплату за счёт средств первоначального взноса стоимости строительных материалов и (или) работ, необходимых для строительства жилого дома, договоры строительного подряда при строительстве индивидуального жилого дома строительной организацией;</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з) кредитный договор с банком, подтверждающий строительство жилого дома за счет средств ипотечного кредитования;</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и) выписку об оборотах по счету заемщика, отражающая поступление кредитных средств от банка.</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Документы, указанные в подпунктах 1.2 – 1.9, 1.14, 1.15, 1.16 пункта 1 предоставляются в копиях заявителем. При этом работник МФЦ,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 Оригиналы указанных документов возвращаются заявителю, копии данных документов приобщаются к комплекту документов, передаваемых в Общество.</w:t>
            </w:r>
          </w:p>
        </w:tc>
      </w:tr>
      <w:tr>
        <w:trPr>
          <w:trHeight w:val="1671" w:hRule="atLeast"/>
        </w:trPr>
        <w:tc>
          <w:tcPr>
            <w:tcW w:w="2834" w:type="dxa"/>
            <w:tcBorders>
              <w:top w:val="single" w:sz="6" w:space="0" w:color="EDEDED"/>
              <w:bottom w:val="single" w:sz="6" w:space="0" w:color="EDEDED"/>
              <w:right w:val="single" w:sz="6" w:space="0" w:color="EDEDED"/>
            </w:tcBorders>
            <w:shd w:color="auto" w:fill="FAFAFA" w:val="clear"/>
          </w:tcPr>
          <w:p>
            <w:pPr>
              <w:pStyle w:val="Normal"/>
              <w:tabs>
                <w:tab w:val="clear" w:pos="708"/>
                <w:tab w:val="right" w:pos="2186" w:leader="none"/>
              </w:tabs>
              <w:spacing w:lineRule="auto" w:line="240" w:before="0" w:after="0"/>
              <w:jc w:val="center"/>
              <w:rPr>
                <w:rFonts w:ascii="Arial" w:hAnsi="Arial" w:eastAsia="Times New Roman" w:cs="Arial"/>
                <w:b/>
                <w:color w:themeColor="accent4" w:themeShade="80" w:val="403152"/>
                <w:lang w:eastAsia="ru-RU"/>
              </w:rPr>
            </w:pPr>
            <w:r>
              <w:rPr>
                <w:rFonts w:eastAsia="Times New Roman" w:cs="Arial" w:ascii="Arial" w:hAnsi="Arial"/>
                <w:b/>
                <w:color w:val="0070C0"/>
                <w:lang w:eastAsia="ru-RU"/>
              </w:rPr>
              <w:t>Основания для отказа в приеме документов</w:t>
            </w:r>
          </w:p>
        </w:tc>
        <w:tc>
          <w:tcPr>
            <w:tcW w:w="12528"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rPr>
                <w:rFonts w:ascii="Arial" w:hAnsi="Arial" w:eastAsia="Times New Roman" w:cs="Arial"/>
                <w:color w:val="000000"/>
                <w:lang w:eastAsia="ru-RU"/>
              </w:rPr>
            </w:pPr>
            <w:r>
              <w:rPr>
                <w:rFonts w:eastAsia="Times New Roman" w:cs="Arial" w:ascii="Arial" w:hAnsi="Arial"/>
                <w:color w:val="000000"/>
                <w:lang w:eastAsia="ru-RU"/>
              </w:rPr>
              <w:t>Основанием для отказа в приеме документов по услугам Общества в МФЦ является:</w:t>
            </w:r>
          </w:p>
          <w:p>
            <w:pPr>
              <w:pStyle w:val="Normal"/>
              <w:spacing w:lineRule="auto" w:line="240" w:before="0" w:after="0"/>
              <w:rPr>
                <w:rFonts w:ascii="Arial" w:hAnsi="Arial" w:eastAsia="Times New Roman" w:cs="Arial"/>
                <w:color w:val="000000"/>
                <w:lang w:eastAsia="ru-RU"/>
              </w:rPr>
            </w:pPr>
            <w:r>
              <w:rPr>
                <w:rFonts w:eastAsia="Times New Roman" w:cs="Arial" w:ascii="Arial" w:hAnsi="Arial"/>
                <w:color w:val="000000"/>
                <w:lang w:eastAsia="ru-RU"/>
              </w:rPr>
              <w:t>1.1. Не установлена личность лица, обратившегося за предоставлением услуг, в том числе не предъявлен документ, удостоверяющий личность такого лица, истек срок действия документа, удостоверяющего личность заявителя, или лицо, представляющее заявление и прилагаемые к нему документы, отказалось предъявить документ, удостоверяющий его личность.</w:t>
            </w:r>
          </w:p>
          <w:p>
            <w:pPr>
              <w:pStyle w:val="Normal"/>
              <w:spacing w:lineRule="auto" w:line="240" w:before="0" w:after="0"/>
              <w:rPr>
                <w:rFonts w:ascii="Arial" w:hAnsi="Arial" w:eastAsia="Times New Roman" w:cs="Arial"/>
                <w:color w:val="000000"/>
                <w:lang w:eastAsia="ru-RU"/>
              </w:rPr>
            </w:pPr>
            <w:r>
              <w:rPr>
                <w:rFonts w:eastAsia="Times New Roman" w:cs="Arial" w:ascii="Arial" w:hAnsi="Arial"/>
                <w:color w:val="000000"/>
                <w:lang w:eastAsia="ru-RU"/>
              </w:rPr>
              <w:t>1.2. Непредставление обязательных документов.</w:t>
            </w:r>
          </w:p>
        </w:tc>
      </w:tr>
      <w:tr>
        <w:trPr/>
        <w:tc>
          <w:tcPr>
            <w:tcW w:w="2834"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themeColor="accent4" w:themeShade="80" w:val="403152"/>
                <w:lang w:eastAsia="ru-RU"/>
              </w:rPr>
            </w:pPr>
            <w:r>
              <w:rPr>
                <w:rFonts w:eastAsia="Times New Roman" w:cs="Arial" w:ascii="Arial" w:hAnsi="Arial"/>
                <w:b/>
                <w:color w:val="0070C0"/>
                <w:lang w:eastAsia="ru-RU"/>
              </w:rPr>
              <w:t>Стоимость и порядок оплаты</w:t>
            </w:r>
          </w:p>
        </w:tc>
        <w:tc>
          <w:tcPr>
            <w:tcW w:w="12528"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С заявителя плата в МФЦ не взимается</w:t>
            </w:r>
          </w:p>
        </w:tc>
      </w:tr>
      <w:tr>
        <w:trPr>
          <w:trHeight w:val="1389" w:hRule="atLeast"/>
        </w:trPr>
        <w:tc>
          <w:tcPr>
            <w:tcW w:w="2834"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Срок оказания услуги</w:t>
            </w:r>
          </w:p>
        </w:tc>
        <w:tc>
          <w:tcPr>
            <w:tcW w:w="12528"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Документы, предоставленные заявителем, передаются в Общество ежедневно с 08:00 до 17:00, обед с 12:00 до 13:00 (кроме выходных), в срок не позднее 5 (пяти) рабочих дней, следующих за днем приема от заявителя документов в МФЦ.</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Рассмотрение документов Обществом осуществляется в течение 10 рабочих дней со дня получения Обществом информации о ранее предоставленных мерах поддержки, полного комплекта документов.</w:t>
            </w:r>
          </w:p>
        </w:tc>
      </w:tr>
      <w:tr>
        <w:trPr>
          <w:trHeight w:val="2438" w:hRule="atLeast"/>
        </w:trPr>
        <w:tc>
          <w:tcPr>
            <w:tcW w:w="2834"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Взаимодействие с организациями при выполнении функции</w:t>
            </w:r>
          </w:p>
        </w:tc>
        <w:tc>
          <w:tcPr>
            <w:tcW w:w="12528"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r>
          </w:p>
        </w:tc>
      </w:tr>
      <w:tr>
        <w:trPr>
          <w:trHeight w:val="1671" w:hRule="atLeast"/>
        </w:trPr>
        <w:tc>
          <w:tcPr>
            <w:tcW w:w="2834"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Перечень нормативно-правовых актов, регулирующих осуществление функции</w:t>
            </w:r>
          </w:p>
        </w:tc>
        <w:tc>
          <w:tcPr>
            <w:tcW w:w="12528"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r>
          </w:p>
        </w:tc>
      </w:tr>
    </w:tbl>
    <w:p>
      <w:pPr>
        <w:pStyle w:val="Normal"/>
        <w:widowControl/>
        <w:bidi w:val="0"/>
        <w:spacing w:lineRule="auto" w:line="276" w:before="0" w:after="200"/>
        <w:jc w:val="left"/>
        <w:rPr/>
      </w:pPr>
      <w:r>
        <w:rPr/>
      </w:r>
    </w:p>
    <w:sectPr>
      <w:type w:val="nextPage"/>
      <w:pgSz w:orient="landscape" w:w="16838" w:h="11906"/>
      <w:pgMar w:left="851" w:right="1134" w:gutter="0" w:header="0" w:top="426"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swiss"/>
    <w:pitch w:val="variable"/>
  </w:font>
  <w:font w:name="Liberation Sans">
    <w:altName w:val="Arial"/>
    <w:charset w:val="cc"/>
    <w:family w:val="swiss"/>
    <w:pitch w:val="variable"/>
  </w:font>
  <w:font w:name="Times New Roman">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236378"/>
    <w:rPr>
      <w:rFonts w:ascii="Tahoma" w:hAnsi="Tahoma" w:cs="Tahoma"/>
      <w:sz w:val="16"/>
      <w:szCs w:val="16"/>
    </w:rPr>
  </w:style>
  <w:style w:type="paragraph" w:styleId="Style15">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rPr>
  </w:style>
  <w:style w:type="paragraph" w:styleId="user">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1">
    <w:name w:val="Указатель (user)"/>
    <w:basedOn w:val="Normal"/>
    <w:qFormat/>
    <w:pPr>
      <w:suppressLineNumbers/>
    </w:pPr>
    <w:rPr>
      <w:rFonts w:cs="Mangal"/>
    </w:rPr>
  </w:style>
  <w:style w:type="paragraph" w:styleId="BalloonText">
    <w:name w:val="Balloon Text"/>
    <w:basedOn w:val="Normal"/>
    <w:link w:val="Style14"/>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contextualSpacing/>
    </w:pPr>
    <w:rPr/>
  </w:style>
  <w:style w:type="paragraph" w:styleId="NormalWeb">
    <w:name w:val="Normal (Web)"/>
    <w:basedOn w:val="Normal"/>
    <w:uiPriority w:val="99"/>
    <w:unhideWhenUsed/>
    <w:qFormat/>
    <w:rsid w:val="00527e42"/>
    <w:pPr>
      <w:spacing w:lineRule="auto" w:line="240" w:beforeAutospacing="1" w:after="0"/>
      <w:ind w:firstLine="709"/>
      <w:jc w:val="both"/>
    </w:pPr>
    <w:rPr>
      <w:rFonts w:ascii="Times New Roman" w:hAnsi="Times New Roman" w:eastAsia="Times New Roman" w:cs="Times New Roman"/>
      <w:sz w:val="24"/>
      <w:szCs w:val="24"/>
      <w:lang w:eastAsia="ru-RU"/>
    </w:rPr>
  </w:style>
  <w:style w:type="paragraph" w:styleId="Default">
    <w:name w:val="Default"/>
    <w:qFormat/>
    <w:pPr>
      <w:widowControl/>
      <w:suppressAutoHyphens w:val="true"/>
      <w:bidi w:val="0"/>
      <w:spacing w:before="0" w:after="0"/>
      <w:jc w:val="left"/>
    </w:pPr>
    <w:rPr>
      <w:rFonts w:ascii="Arial" w:hAnsi="Arial" w:eastAsia="Calibri" w:cs="" w:cstheme="minorBidi" w:eastAsiaTheme="minorHAnsi"/>
      <w:color w:val="000000"/>
      <w:kern w:val="0"/>
      <w:sz w:val="24"/>
      <w:szCs w:val="22"/>
      <w:lang w:val="ru-RU" w:eastAsia="en-US" w:bidi="ar-SA"/>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460</TotalTime>
  <Application>LibreOffice/25.2.0.3$Windows_X86_64 LibreOffice_project/e1cf4a87eb02d755bce1a01209907ea5ddc8f069</Application>
  <AppVersion>15.0000</AppVersion>
  <Pages>6</Pages>
  <Words>2052</Words>
  <Characters>14538</Characters>
  <CharactersWithSpaces>16516</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2018-05-28T04:16:00Z</dcterms:created>
  <dc:creator>Надежда Николаевна Плотникова</dc:creator>
  <dc:description/>
  <dc:language>ru-RU</dc:language>
  <cp:lastModifiedBy/>
  <cp:lastPrinted>2018-08-08T10:10:00Z</cp:lastPrinted>
  <dcterms:modified xsi:type="dcterms:W3CDTF">2025-10-24T16:05:21Z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