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Подуслуги: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1. Направление уведомления о сносе объекта капитального строительства;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2. Направление уведомления о завершении сноса объекта капитального строительства.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51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Отдел архитектуры и градостроительства Управления по развитию территории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физические лица, юридические лица, индивидуальные предприниматели, являющиеся застройщиками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47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уведомление о сносе;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47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документ, удостоверяющий личность заявителя;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65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65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65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е) 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14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ж) проект организации работ по сносу объекта капитального строительства (в случае направления уведомления о сносе);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149" w:leader="none"/>
              </w:tabs>
              <w:suppressAutoHyphens w:val="true"/>
              <w:bidi w:val="0"/>
              <w:spacing w:lineRule="exact" w:line="322" w:before="0" w:after="0"/>
              <w:ind w:left="0" w:right="0" w:firstLine="170"/>
              <w:jc w:val="both"/>
              <w:rPr/>
            </w:pPr>
            <w:r>
              <w:rPr>
                <w:rStyle w:val="2"/>
                <w:rFonts w:cs="Arial" w:ascii="Arial" w:hAnsi="Arial"/>
                <w:sz w:val="22"/>
                <w:szCs w:val="22"/>
              </w:rPr>
              <w:t>з) уведомление о завершении сноса.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сведения из Е</w:t>
            </w:r>
            <w:r>
              <w:rPr>
                <w:rFonts w:eastAsia="Calibri" w:cs="Arial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ГРЮЛ И ЕГРИП;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сведения из Е</w:t>
            </w:r>
            <w:r>
              <w:rPr>
                <w:rFonts w:eastAsia="Calibri" w:cs="Arial" w:ascii="Arial" w:hAnsi="Arial"/>
                <w:color w:val="auto"/>
                <w:kern w:val="0"/>
                <w:sz w:val="22"/>
                <w:szCs w:val="22"/>
                <w:lang w:val="ru-RU" w:eastAsia="en-US" w:bidi="ar-SA"/>
              </w:rPr>
              <w:t>ГРН;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30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решение суда о сносе объекта капитального строительства: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color="auto" w:fill="auto"/>
              <w:tabs>
                <w:tab w:val="clear" w:pos="720"/>
                <w:tab w:val="left" w:pos="1392" w:leader="none"/>
              </w:tabs>
              <w:suppressAutoHyphens w:val="true"/>
              <w:bidi w:val="0"/>
              <w:spacing w:lineRule="auto" w:line="240" w:before="0" w:after="0"/>
              <w:ind w:left="0" w:right="0" w:firstLine="227"/>
              <w:jc w:val="both"/>
              <w:rPr/>
            </w:pPr>
            <w:r>
              <w:rPr>
                <w:rStyle w:val="2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г) решение органа местного самоуправления о сносе объекта капитального строительства.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spacing w:lineRule="exact" w:line="322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Размещение этих уведомления и документов в информационной системе обеспечения градостроительной деятельности.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322" w:before="0" w:after="0"/>
              <w:ind w:firstLine="7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1"/>
              <w:widowControl w:val="false"/>
              <w:shd w:val="clear" w:color="auto" w:fill="auto"/>
              <w:spacing w:lineRule="exact" w:line="322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 случае обращения за услугой «Направление уведомления о планируемом сносе объекта капитального строительства: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color="auto" w:fill="auto"/>
              <w:tabs>
                <w:tab w:val="clear" w:pos="720"/>
                <w:tab w:val="left" w:pos="1447" w:leader="none"/>
              </w:tabs>
              <w:spacing w:lineRule="exact" w:line="322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извещение о приеме уведомления о планируемом сносе объекта капитального строительства;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color="auto" w:fill="auto"/>
              <w:tabs>
                <w:tab w:val="clear" w:pos="720"/>
                <w:tab w:val="left" w:pos="1447" w:leader="none"/>
              </w:tabs>
              <w:spacing w:lineRule="exact" w:line="322" w:before="0" w:after="0"/>
              <w:ind w:left="0" w:hanging="0"/>
              <w:jc w:val="both"/>
              <w:rPr/>
            </w:pPr>
            <w:r>
              <w:rPr>
                <w:rStyle w:val="2"/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2) отказ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Срок предоставления муниципальной услуги составляет не более </w:t>
            </w:r>
            <w:r>
              <w:rPr>
                <w:rStyle w:val="21pt"/>
                <w:rFonts w:cs="Times New Roman" w:ascii="Arial" w:hAnsi="Arial"/>
                <w:i w:val="false"/>
                <w:sz w:val="22"/>
                <w:szCs w:val="22"/>
              </w:rPr>
              <w:t>семи</w:t>
            </w:r>
            <w:r>
              <w:rPr>
                <w:rFonts w:ascii="Arial" w:hAnsi="Arial"/>
                <w:sz w:val="22"/>
                <w:szCs w:val="22"/>
              </w:rPr>
              <w:t xml:space="preserve"> рабочих дней со дня</w:t>
            </w:r>
            <w:r>
              <w:rPr>
                <w:rStyle w:val="2"/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Style w:val="2"/>
                <w:rFonts w:cs="Arial" w:ascii="Arial" w:hAnsi="Arial"/>
                <w:sz w:val="24"/>
                <w:szCs w:val="24"/>
              </w:rPr>
              <w:t>поступления уведомления о сносе, уведомления о завершении сноса в Уполномоченный орган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24 августа 2023 года № 1108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</w:rPr>
              <w:t xml:space="preserve">муниципальной услуги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«Направление уведомления о планируемом сносе объекта капитального строительства и уведомления о завершении сноса объекта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ru-RU" w:eastAsia="zh-CN" w:bidi="ar-SA"/>
              </w:rPr>
              <w:t>капитального строительства»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Application>LibreOffice/7.0.4.2$Windows_X86_64 LibreOffice_project/dcf040e67528d9187c66b2379df5ea4407429775</Application>
  <AppVersion>15.0000</AppVersion>
  <Pages>2</Pages>
  <Words>323</Words>
  <Characters>2523</Characters>
  <CharactersWithSpaces>2808</CharactersWithSpaces>
  <Paragraphs>38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2024-12-24T15:23:21Z</dcterms:modified>
  <cp:revision>160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