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59"/>
        <w:gridCol w:w="12616"/>
      </w:tblGrid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Arial" w:ascii="Arial" w:hAnsi="Arial"/>
                <w:color w:val="auto"/>
                <w:sz w:val="22"/>
                <w:szCs w:val="22"/>
              </w:rPr>
              <w:t>Администрацией Щучанского муниципального округа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Уполномоченный орган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Комитет имущественных и земельных отношений Администрации Щучанского муниципального округа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Категории заявителей: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bidi="ru-RU"/>
              </w:rPr>
              <w:t>Физические лица, индивидуальные предприниматели и юридические лица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Интересы заявителей,  могут представлять лица, обладающие соответствующими полномочиями.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ind w:hanging="0"/>
              <w:jc w:val="both"/>
              <w:rPr>
                <w:rFonts w:ascii="Arial" w:hAnsi="Arial" w:cs="Arial"/>
                <w:color w:val="000000"/>
                <w:lang w:bidi="ru-RU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bidi="ru-RU"/>
              </w:rPr>
              <w:t>Возможные цели обращения: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937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bidi="ru-RU"/>
              </w:rPr>
              <w:t>1. получение разрешения на использование земель или земельного участка, которые находятся в государственной или муниципальной собственности и не предоставлены гражданам или юридическим лицам, в целях, указанных в пункте 1 статьи 39.34 Зем</w:t>
            </w:r>
            <w:r>
              <w:rPr>
                <w:rFonts w:eastAsia="Calibri" w:cs="Arial" w:ascii="Arial" w:hAnsi="Arial"/>
                <w:color w:val="auto"/>
                <w:kern w:val="0"/>
                <w:sz w:val="22"/>
                <w:szCs w:val="22"/>
                <w:lang w:val="ru-RU" w:eastAsia="en-US" w:bidi="ru-RU"/>
              </w:rPr>
              <w:t>К</w:t>
            </w:r>
            <w:r>
              <w:rPr>
                <w:rFonts w:cs="Arial" w:ascii="Arial" w:hAnsi="Arial"/>
                <w:color w:val="auto"/>
                <w:sz w:val="22"/>
                <w:szCs w:val="22"/>
                <w:lang w:bidi="ru-RU"/>
              </w:rPr>
              <w:t xml:space="preserve"> РФ (получение разрешения на использование земель):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  <w:t xml:space="preserve">1. Разрешение на использование земель или земельного участка, находящихся в государственной или муниципальной собственности, выдается в </w:t>
            </w:r>
            <w:hyperlink r:id="rId2">
              <w:r>
                <w:rPr>
                  <w:rFonts w:ascii="Arial" w:hAnsi="Arial"/>
                  <w:b w:val="false"/>
                  <w:i w:val="false"/>
                  <w:strike w:val="false"/>
                  <w:dstrike w:val="false"/>
                  <w:color w:val="auto"/>
                  <w:sz w:val="22"/>
                  <w:szCs w:val="22"/>
                  <w:u w:val="none"/>
                </w:rPr>
                <w:t>порядке</w:t>
              </w:r>
            </w:hyperlink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  <w:t>, установленном Правительством Российской Федерации: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color w:val="auto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  <w:t>1) в целях проведения инженерных изысканий либо капитального или текущего ремонта линейного объекта на срок не более одного года;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  <w:t xml:space="preserve">2) в целях строительства временных или </w:t>
            </w:r>
            <w:hyperlink r:id="rId3">
              <w:r>
                <w:rPr>
                  <w:rFonts w:ascii="Arial" w:hAnsi="Arial"/>
                  <w:b w:val="false"/>
                  <w:i w:val="false"/>
                  <w:strike w:val="false"/>
                  <w:dstrike w:val="false"/>
                  <w:color w:val="auto"/>
                  <w:sz w:val="22"/>
                  <w:szCs w:val="22"/>
                  <w:u w:val="none"/>
                </w:rPr>
                <w:t>вспомогательных</w:t>
              </w:r>
            </w:hyperlink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  <w:t xml:space="preserve">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color w:val="auto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  <w:t>3) в целях осуществления геологического изучения недр на срок действия соответствующей лицензии;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  <w:t xml:space="preserve">4) в целях сохранения и развития традиционных образа жизни, хозяйственной деятельности и промыслов коренных малочисленных </w:t>
            </w:r>
            <w:hyperlink r:id="rId4">
              <w:r>
                <w:rPr>
                  <w:rFonts w:ascii="Arial" w:hAnsi="Arial"/>
                  <w:b w:val="false"/>
                  <w:i w:val="false"/>
                  <w:strike w:val="false"/>
                  <w:dstrike w:val="false"/>
                  <w:color w:val="auto"/>
                  <w:sz w:val="22"/>
                  <w:szCs w:val="22"/>
                  <w:u w:val="none"/>
                </w:rPr>
                <w:t>народов</w:t>
              </w:r>
            </w:hyperlink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  <w:t xml:space="preserve"> Севера, Сибири и Дальнего Востока Российской Федерации в </w:t>
            </w:r>
            <w:hyperlink r:id="rId5">
              <w:r>
                <w:rPr>
                  <w:rFonts w:ascii="Arial" w:hAnsi="Arial"/>
                  <w:b w:val="false"/>
                  <w:i w:val="false"/>
                  <w:strike w:val="false"/>
                  <w:dstrike w:val="false"/>
                  <w:color w:val="auto"/>
                  <w:sz w:val="22"/>
                  <w:szCs w:val="22"/>
                  <w:u w:val="none"/>
                </w:rPr>
                <w:t>местах</w:t>
              </w:r>
            </w:hyperlink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  <w:t xml:space="preserve"> их традиционного проживания и традиционной хозяйственной деятельности лицам, относящимся к коренным малочисленным народам Севера, Сибири и Дальнего Востока Российской Федерации, и их общинам без ограничения срока;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  <w:t xml:space="preserve">5) в целях возведения некапитальных строений, сооружений, предназначенных для осуществления товарной аквакультуры (товарного рыбоводства), на </w:t>
            </w:r>
            <w:hyperlink r:id="rId6">
              <w:r>
                <w:rPr>
                  <w:rFonts w:ascii="Arial" w:hAnsi="Arial"/>
                  <w:b w:val="false"/>
                  <w:i w:val="false"/>
                  <w:strike w:val="false"/>
                  <w:dstrike w:val="false"/>
                  <w:color w:val="auto"/>
                  <w:sz w:val="22"/>
                  <w:szCs w:val="22"/>
                  <w:u w:val="none"/>
                </w:rPr>
                <w:t>срок</w:t>
              </w:r>
            </w:hyperlink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  <w:t xml:space="preserve"> действия договора пользования рыбоводным участком;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color w:val="auto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  <w:t>6) в целях обеспечения судоходства для возведения на береговой полосе в пределах внутренних водных путей некапитальных строений, сооружений.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956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bidi="ru-RU"/>
              </w:rPr>
              <w:t>2. получение разрешения на размещение объектов, виды которых установлены Постановлением Правительства Российской Федерации от 3 декабря 2014 г. № 1300, на землях или земельных участках, которые находятся в государственной или муниципальной собственности и не предоставлены гражданам или юридическим лицам (получение разрешения на размещение объектов). Приложение №1 к Раздаточному материалу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hyperlink r:id="rId7">
              <w:r>
                <w:rPr>
                  <w:rFonts w:cs="Arial" w:ascii="Arial" w:hAnsi="Arial"/>
                  <w:color w:val="000000"/>
                  <w:sz w:val="22"/>
                  <w:szCs w:val="22"/>
                  <w:lang w:bidi="ru-RU"/>
                </w:rPr>
                <w:t>не применяется при предоставлении услуги в связи с размещением нестационарных торговых объектов, рекламных конструкций, возведением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жительства).</w:t>
              </w:r>
            </w:hyperlink>
          </w:p>
        </w:tc>
      </w:tr>
      <w:tr>
        <w:trPr>
          <w:trHeight w:val="1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1) заявление о предоставлении государственной (муниципальной) услуги.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2) документ, удостоверяющего личность Заявителя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3) документ, подтверждающий полномочия представителя действовать от имени заявителя - случае, если заявление подается представителем.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4)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при обращении в целях получения разрешения на использование земель, если планируется использовать земли или часть земельного участка;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5) документы, предусмотренные в соответствии с законом субъекта РФ - при обращении в целях получения разрешения на размещение объектов.</w:t>
            </w:r>
          </w:p>
        </w:tc>
      </w:tr>
      <w:tr>
        <w:trPr>
          <w:trHeight w:val="413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1) выписка из Единого государственного реестра юридических лиц;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2) выписка из Единого государственного реестра индивидуальных предпринимателей;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3) выписка из Единого государственного реестра недвижимости;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4) лицензия, удостоверяющих право заявителя на проведение работ по геологическому изучению недр;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5) нотариально заверенная доверенность;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6) иные документы, предусмотренные в соответствии с законом субъекта Российской Федерации.</w:t>
            </w:r>
          </w:p>
        </w:tc>
      </w:tr>
      <w:tr>
        <w:trPr>
          <w:trHeight w:val="479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</w:rPr>
              <w:t>1. Разрешение уполномоченного органа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</w:rPr>
              <w:t>2. Разрешение уполномоченного органа на размещение объекта на землях, земельном участке или части земельного участка, находящихся в государственной или муниципальной собственности;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</w:rPr>
              <w:t>3. Решение об отказе в предоставлении услуги.</w:t>
            </w:r>
          </w:p>
        </w:tc>
      </w:tr>
      <w:tr>
        <w:trPr>
          <w:trHeight w:val="643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Срок предоставления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</w:rPr>
              <w:t>Срок предоставления государственной (муниципальной) услуги</w:t>
            </w:r>
            <w:r>
              <w:rPr>
                <w:rFonts w:ascii="Arial" w:hAnsi="Arial"/>
                <w:sz w:val="22"/>
                <w:szCs w:val="22"/>
              </w:rPr>
              <w:t xml:space="preserve"> превышать </w:t>
            </w:r>
            <w:r>
              <w:rPr>
                <w:rFonts w:eastAsia="Calibri" w:cs="" w:ascii="Arial" w:hAnsi="Arial"/>
                <w:color w:val="00000A"/>
                <w:kern w:val="0"/>
                <w:sz w:val="22"/>
                <w:szCs w:val="22"/>
                <w:lang w:val="ru-RU" w:eastAsia="en-US" w:bidi="ar-SA"/>
              </w:rPr>
              <w:t>25 календарных дня.</w:t>
            </w:r>
          </w:p>
        </w:tc>
      </w:tr>
      <w:tr>
        <w:trPr>
          <w:trHeight w:val="52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Постановление </w:t>
            </w:r>
            <w:r>
              <w:rPr>
                <w:rFonts w:eastAsia="Times New Roman" w:ascii="Arial" w:hAnsi="Arial"/>
                <w:b w:val="false"/>
                <w:bCs w:val="false"/>
                <w:color w:val="auto"/>
                <w:sz w:val="22"/>
                <w:szCs w:val="22"/>
                <w:lang w:eastAsia="zh-CN" w:bidi="ar-SA"/>
              </w:rPr>
              <w:t>Администрацией Щучанского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 от 27 декабря 2023 года № 1834 Об утверждении административного регламента предоставления </w:t>
            </w:r>
            <w:r>
              <w:rPr>
                <w:rFonts w:eastAsia="Times New Roman" w:ascii="Arial" w:hAnsi="Arial"/>
                <w:b w:val="false"/>
                <w:bCs w:val="false"/>
                <w:color w:val="auto"/>
                <w:sz w:val="22"/>
                <w:szCs w:val="22"/>
                <w:lang w:eastAsia="zh-CN" w:bidi="ar-SA"/>
              </w:rPr>
              <w:t>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link w:val="20"/>
    <w:qFormat/>
    <w:rsid w:val="00cc53b2"/>
    <w:rPr>
      <w:sz w:val="28"/>
      <w:szCs w:val="28"/>
      <w:shd w:fill="FFFFFF" w:val="clear"/>
    </w:rPr>
  </w:style>
  <w:style w:type="character" w:styleId="Style17">
    <w:name w:val="Символ нумерации"/>
    <w:qFormat/>
    <w:rPr/>
  </w:style>
  <w:style w:type="character" w:styleId="Style18">
    <w:name w:val="Маркеры"/>
    <w:qFormat/>
    <w:rPr>
      <w:rFonts w:ascii="OpenSymbol" w:hAnsi="OpenSymbol" w:eastAsia="OpenSymbol" w:cs="OpenSymbol"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4" w:customStyle="1">
    <w:name w:val="Содержимое таблицы"/>
    <w:basedOn w:val="Normal"/>
    <w:qFormat/>
    <w:pPr/>
    <w:rPr/>
  </w:style>
  <w:style w:type="paragraph" w:styleId="Style25" w:customStyle="1">
    <w:name w:val="Заголовок таблицы"/>
    <w:basedOn w:val="Style24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359261&amp;dst=100009" TargetMode="External"/><Relationship Id="rId3" Type="http://schemas.openxmlformats.org/officeDocument/2006/relationships/hyperlink" Target="https://login.consultant.ru/link/?req=doc&amp;base=LAW&amp;n=223191&amp;dst=100005" TargetMode="External"/><Relationship Id="rId4" Type="http://schemas.openxmlformats.org/officeDocument/2006/relationships/hyperlink" Target="https://login.consultant.ru/link/?req=doc&amp;base=LAW&amp;n=124261&amp;dst=100006" TargetMode="External"/><Relationship Id="rId5" Type="http://schemas.openxmlformats.org/officeDocument/2006/relationships/hyperlink" Target="https://login.consultant.ru/link/?req=doc&amp;base=LAW&amp;n=476035&amp;dst=100008" TargetMode="External"/><Relationship Id="rId6" Type="http://schemas.openxmlformats.org/officeDocument/2006/relationships/hyperlink" Target="https://login.consultant.ru/link/?req=doc&amp;base=LAW&amp;n=465821&amp;dst=100068" TargetMode="External"/><Relationship Id="rId7" Type="http://schemas.openxmlformats.org/officeDocument/2006/relationships/hyperlink" Target="https://login.consultant.ru/link/?req=doc&amp;base=LAW&amp;n=341822&amp;dst=100018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Application>LibreOffice/7.0.4.2$Windows_X86_64 LibreOffice_project/dcf040e67528d9187c66b2379df5ea4407429775</Application>
  <AppVersion>15.0000</AppVersion>
  <Pages>2</Pages>
  <Words>628</Words>
  <Characters>4808</Characters>
  <CharactersWithSpaces>5392</CharactersWithSpaces>
  <Paragraphs>45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2024-12-09T15:33:00Z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2024-12-09T16:00:41Z</dcterms:modified>
  <cp:revision>118</cp:revision>
  <dc:subject/>
  <dc:title>"Земельный кодекс Российской Федерации" от 25.10.2001 N 136-ФЗ(ред. от 08.08.2024)(с изм. и доп., вступ. в силу с 01.09.2024)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