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244" w:leader="none"/>
              </w:tabs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756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258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Комитет имущественных и земельных отношений Администрации Щучанского муниципального округа Курганской области.</w:t>
            </w:r>
          </w:p>
        </w:tc>
      </w:tr>
      <w:tr>
        <w:trPr>
          <w:trHeight w:val="495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249" w:leader="none"/>
              </w:tabs>
              <w:suppressAutoHyphens w:val="false"/>
              <w:bidi w:val="0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  <w:lang w:bidi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  <w:u w:val="none"/>
                <w:lang w:bidi="ru-RU"/>
              </w:rPr>
              <w:t>физические лица, индивидуальные предприниматели и юридические лица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1) 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bidi="ru-RU"/>
              </w:rPr>
              <w:t>Заявление о предоставлении государственной (муниципальной) услуги;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bidi="ru-RU"/>
              </w:rPr>
              <w:t>2)  Документ, удостоверяющего личность Заявителя или представителя заявителя;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bidi="ru-RU"/>
              </w:rPr>
              <w:t>3)  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bidi="ru-RU"/>
              </w:rPr>
              <w:t>4)  Схема границ сервитута на кадастровом плане территории.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1) </w:t>
            </w: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Сведения из ЕГРЮЛ;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2) Сведения из ЕГРИП;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56" w:leader="none"/>
              </w:tabs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1) уведомление о возможности заключения соглашения об установлении сервитута в предложенных заявителем границах;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56" w:leader="none"/>
              </w:tabs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2)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56" w:leader="none"/>
              </w:tabs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3) проект соглашения об установлении сервитута;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56" w:leader="none"/>
              </w:tabs>
              <w:suppressAutoHyphens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  <w:highlight w:val="white"/>
                <w:lang w:bidi="ru-RU"/>
              </w:rPr>
              <w:t>4) решение об отказе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highlight w:val="white"/>
                <w:shd w:fill="auto" w:val="clear"/>
                <w:lang w:eastAsia="ru-RU"/>
              </w:rPr>
              <w:t>30 календарных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>
          <w:trHeight w:val="469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26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февраля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2024 года №258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bidi="ru-RU"/>
              </w:rPr>
      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 на территории Щучанского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8">
    <w:name w:val="Гипертекстовая ссылка"/>
    <w:qFormat/>
    <w:rPr>
      <w:color w:val="106BB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Application>LibreOffice/7.0.4.2$Windows_X86_64 LibreOffice_project/dcf040e67528d9187c66b2379df5ea4407429775</Application>
  <AppVersion>15.0000</AppVersion>
  <Pages>2</Pages>
  <Words>209</Words>
  <Characters>1681</Characters>
  <CharactersWithSpaces>1865</CharactersWithSpaces>
  <Paragraphs>29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2025-01-22T10:25:27Z</dcterms:modified>
  <cp:revision>408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