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hd w:fill="auto" w:val="clear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11"/>
              <w:widowControl w:val="false"/>
              <w:spacing w:lineRule="auto" w:line="240" w:before="0" w:after="0"/>
              <w:ind w:hanging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</w:tr>
      <w:tr>
        <w:trPr/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hd w:fill="auto" w:val="clear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11"/>
              <w:widowControl w:val="false"/>
              <w:spacing w:lineRule="auto" w:line="240" w:before="0" w:after="0"/>
              <w:ind w:hanging="0"/>
              <w:contextualSpacing/>
              <w:jc w:val="both"/>
              <w:rPr>
                <w:rFonts w:ascii="Arial" w:hAnsi="Arial" w:cs="Arial"/>
                <w:iCs/>
              </w:rPr>
            </w:pPr>
            <w:r>
              <w:rPr>
                <w:rFonts w:eastAsia="Arial" w:cs="Arial" w:ascii="Arial" w:hAnsi="Arial"/>
                <w:color w:val="auto"/>
                <w:sz w:val="24"/>
                <w:szCs w:val="24"/>
              </w:rPr>
              <w:t>Администрацией Щучанского муниципального округа Курганской области</w:t>
            </w:r>
            <w:r>
              <w:rPr>
                <w:rFonts w:eastAsia="Arial" w:cs="Arial" w:ascii="Arial" w:hAnsi="Arial"/>
                <w:iCs/>
                <w:color w:val="auto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hd w:fill="auto" w:val="clear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Arial" w:cs="Arial" w:ascii="Arial" w:hAnsi="Arial"/>
                <w:color w:val="auto"/>
                <w:sz w:val="24"/>
                <w:szCs w:val="24"/>
                <w:highlight w:val="white"/>
              </w:rPr>
              <w:t>Щучанского муниципального округа Курганской области</w:t>
            </w:r>
            <w:r>
              <w:rPr>
                <w:rFonts w:eastAsia="Arial" w:cs="Arial" w:ascii="Arial" w:hAnsi="Arial"/>
                <w:iCs/>
                <w:color w:val="auto"/>
                <w:sz w:val="24"/>
                <w:szCs w:val="24"/>
                <w:highlight w:val="white"/>
              </w:rPr>
              <w:t>.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hd w:fill="auto" w:val="clear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0" w:firstLine="283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</w:t>
            </w:r>
            <w:r>
              <w:rPr>
                <w:rFonts w:cs="Arial" w:ascii="Arial" w:hAnsi="Arial"/>
                <w:sz w:val="24"/>
                <w:szCs w:val="24"/>
              </w:rPr>
              <w:t>изические лица, в том числе зарегистрированные в качестве индивидуальных предпринимателей, юридические лица, независимо от права пользования земельным участком, за исключением территорий с лесными насаждениями.</w:t>
            </w:r>
          </w:p>
          <w:p>
            <w:pPr>
              <w:pStyle w:val="11"/>
              <w:spacing w:before="0" w:after="0"/>
              <w:ind w:left="0" w:right="0" w:firstLine="283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Интересы заявителей, могут представлять лица, обладающие соответствующими полномочиями.</w:t>
            </w:r>
          </w:p>
          <w:p>
            <w:pPr>
              <w:pStyle w:val="11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ind w:left="0" w:right="0" w:firstLine="28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</w:t>
            </w:r>
            <w:r>
              <w:rPr>
                <w:rFonts w:eastAsia="Times New Roman" w:cs="Arial" w:ascii="Arial" w:hAnsi="Arial"/>
                <w:color w:val="00000A"/>
                <w:sz w:val="24"/>
                <w:szCs w:val="24"/>
              </w:rPr>
              <w:t>Ф</w:t>
            </w:r>
            <w:r>
              <w:rPr>
                <w:rFonts w:cs="Arial" w:ascii="Arial" w:hAnsi="Arial"/>
                <w:sz w:val="24"/>
                <w:szCs w:val="24"/>
              </w:rPr>
              <w:t>.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11"/>
              <w:widowControl w:val="false"/>
              <w:tabs>
                <w:tab w:val="clear" w:pos="720"/>
                <w:tab w:val="left" w:pos="1693" w:leader="none"/>
                <w:tab w:val="left" w:pos="2165" w:leader="none"/>
                <w:tab w:val="left" w:pos="3109" w:leader="none"/>
              </w:tabs>
              <w:spacing w:lineRule="auto" w:line="240" w:before="0" w:after="0"/>
              <w:ind w:hanging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hd w:fill="auto" w:val="clear"/>
                <w:lang w:eastAsia="ru-RU"/>
              </w:rPr>
              <w:t>Выдача разрешения на право вырубки зеленых насаждений осуществляется в случаях: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  <w:r>
              <w:rPr>
                <w:rFonts w:cs="Arial" w:ascii="Arial" w:hAnsi="Arial"/>
                <w:sz w:val="24"/>
                <w:szCs w:val="24"/>
              </w:rPr>
              <w:t>. Выдача разрешения на право вырубки зеленых насаждений осуществляется в случаях: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1)при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2)проведения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3)проведения строительства (реконструкции), сетей инженерно-технического обеспечения, в том числе линейных объектов;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4)проведение капитального или текущего ремонта сетей инженерно-технического обеспечения, в том числе линейных объектов за исключением проведения аварийно-восстановительных работ сетей инженерно-технического обеспечения и сооружений;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5)размещения, установки объектов, не являющихся объектами капитального строительства;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6)проведение инженерно-геологических изысканий;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7) восстановления нормативного светового режима в жилых и нежилых помещениях, затеняемых деревьями.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</w:t>
            </w:r>
            <w:r>
              <w:rPr>
                <w:rFonts w:cs="Arial" w:ascii="Arial" w:hAnsi="Arial"/>
                <w:sz w:val="24"/>
                <w:szCs w:val="24"/>
              </w:rPr>
              <w:t>. 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</w:t>
            </w:r>
            <w:r>
              <w:rPr>
                <w:rFonts w:cs="Arial" w:ascii="Arial" w:hAnsi="Arial"/>
                <w:sz w:val="24"/>
                <w:szCs w:val="24"/>
              </w:rPr>
              <w:t>Ф</w:t>
            </w:r>
            <w:r>
              <w:rPr>
                <w:rFonts w:cs="Arial" w:ascii="Arial" w:hAnsi="Arial"/>
                <w:sz w:val="24"/>
                <w:szCs w:val="24"/>
              </w:rPr>
              <w:t>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зеленных насаждений (питомники, оранжерейные комплексы), а также не относящихся к территории кладбищ.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iCs/>
                <w:color w:val="auto"/>
                <w:sz w:val="24"/>
                <w:szCs w:val="24"/>
              </w:rPr>
              <w:t>3</w:t>
            </w:r>
            <w:r>
              <w:rPr>
                <w:rFonts w:eastAsia="Arial" w:cs="Arial" w:ascii="Arial" w:hAnsi="Arial"/>
                <w:iCs/>
                <w:color w:val="auto"/>
                <w:sz w:val="24"/>
                <w:szCs w:val="24"/>
              </w:rPr>
              <w:t>. Вырубка зеленых насаждений без разрешения на территории Щучанского муниципального округа Курганской области допускается, за исключением проведения аварийно-восстановительных работ сетей инженерно-технического обеспечения и сооружений.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hd w:fill="auto" w:val="clear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) заявление о выдаче разрешения на право вырубки зеленых насаждений;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>) документ, удостоверяющего личность заявителя или представителя заявителя;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  <w:r>
              <w:rPr>
                <w:rFonts w:ascii="Arial" w:hAnsi="Arial"/>
                <w:sz w:val="24"/>
                <w:szCs w:val="24"/>
              </w:rPr>
              <w:t>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  <w:r>
              <w:rPr>
                <w:rFonts w:ascii="Arial" w:hAnsi="Arial"/>
                <w:sz w:val="24"/>
                <w:szCs w:val="24"/>
              </w:rPr>
              <w:t>) дендроплан или схема с описанием места положения дерева (с указанием ближайшего адресного ориентира, а также информации об основаниях для его вырубки;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  <w:r>
              <w:rPr>
                <w:rFonts w:ascii="Arial" w:hAnsi="Arial"/>
                <w:sz w:val="24"/>
                <w:szCs w:val="24"/>
              </w:rPr>
              <w:t>)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диаметра, и т.д.) подлежащих вырубке (перечетная ведомость зеленых насаждений)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  <w:r>
              <w:rPr>
                <w:rFonts w:ascii="Arial" w:hAnsi="Arial"/>
                <w:sz w:val="24"/>
                <w:szCs w:val="24"/>
              </w:rPr>
              <w:t>) 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  <w:r>
              <w:rPr>
                <w:rFonts w:ascii="Arial" w:hAnsi="Arial"/>
                <w:sz w:val="24"/>
                <w:szCs w:val="24"/>
              </w:rPr>
              <w:t>) 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  <w:r>
              <w:rPr>
                <w:rFonts w:ascii="Arial" w:hAnsi="Arial"/>
                <w:sz w:val="24"/>
                <w:szCs w:val="24"/>
              </w:rPr>
              <w:t>) задание на выполнение инженерных изысканий (в случае проведения инженерно-геологических изысканий.</w:t>
            </w:r>
          </w:p>
        </w:tc>
      </w:tr>
      <w:tr>
        <w:trPr>
          <w:trHeight w:val="41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auto" w:themeShade="80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hd w:fill="auto" w:val="clear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  <w:r>
              <w:rPr>
                <w:rFonts w:cs="Arial" w:ascii="Arial" w:hAnsi="Arial"/>
                <w:sz w:val="24"/>
                <w:szCs w:val="24"/>
              </w:rPr>
              <w:t>) сведения из Е</w:t>
            </w:r>
            <w:r>
              <w:rPr>
                <w:rFonts w:eastAsia="Times New Roman" w:cs="Arial" w:ascii="Arial" w:hAnsi="Arial"/>
                <w:color w:val="00000A"/>
                <w:sz w:val="24"/>
                <w:szCs w:val="24"/>
              </w:rPr>
              <w:t>ГРЮЛ</w:t>
            </w:r>
            <w:r>
              <w:rPr>
                <w:rFonts w:cs="Arial" w:ascii="Arial" w:hAnsi="Arial"/>
                <w:sz w:val="24"/>
                <w:szCs w:val="24"/>
              </w:rPr>
              <w:t>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</w:t>
            </w:r>
            <w:r>
              <w:rPr>
                <w:rFonts w:cs="Arial" w:ascii="Arial" w:hAnsi="Arial"/>
                <w:sz w:val="24"/>
                <w:szCs w:val="24"/>
              </w:rPr>
              <w:t>) сведения из Е</w:t>
            </w:r>
            <w:r>
              <w:rPr>
                <w:rFonts w:eastAsia="Times New Roman" w:cs="Arial" w:ascii="Arial" w:hAnsi="Arial"/>
                <w:color w:val="00000A"/>
                <w:sz w:val="24"/>
                <w:szCs w:val="24"/>
              </w:rPr>
              <w:t>ГРИП</w:t>
            </w:r>
            <w:r>
              <w:rPr>
                <w:rFonts w:cs="Arial" w:ascii="Arial" w:hAnsi="Arial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</w:t>
            </w:r>
            <w:r>
              <w:rPr>
                <w:rFonts w:cs="Arial" w:ascii="Arial" w:hAnsi="Arial"/>
                <w:sz w:val="24"/>
                <w:szCs w:val="24"/>
              </w:rPr>
              <w:t>) сведения из Е</w:t>
            </w:r>
            <w:r>
              <w:rPr>
                <w:rFonts w:eastAsia="Times New Roman" w:cs="Arial" w:ascii="Arial" w:hAnsi="Arial"/>
                <w:color w:val="00000A"/>
                <w:sz w:val="24"/>
                <w:szCs w:val="24"/>
              </w:rPr>
              <w:t>ГРН</w:t>
            </w:r>
            <w:r>
              <w:rPr>
                <w:rFonts w:cs="Arial" w:ascii="Arial" w:hAnsi="Arial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4)</w:t>
            </w:r>
            <w:r>
              <w:rPr>
                <w:rFonts w:ascii="Arial" w:hAnsi="Arial"/>
                <w:sz w:val="24"/>
                <w:szCs w:val="24"/>
              </w:rPr>
              <w:t xml:space="preserve"> предписание надзорного органа;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  <w:r>
              <w:rPr>
                <w:rFonts w:ascii="Arial" w:hAnsi="Arial"/>
                <w:sz w:val="24"/>
                <w:szCs w:val="24"/>
              </w:rPr>
              <w:t>) разрешение на размещение объекта;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  <w:r>
              <w:rPr>
                <w:rFonts w:ascii="Arial" w:hAnsi="Arial"/>
                <w:sz w:val="24"/>
                <w:szCs w:val="24"/>
              </w:rPr>
              <w:t>) разрешение на право проведения земляных работ;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  <w:r>
              <w:rPr>
                <w:rFonts w:ascii="Arial" w:hAnsi="Arial"/>
                <w:sz w:val="24"/>
                <w:szCs w:val="24"/>
              </w:rPr>
              <w:t>) схема движения транспорта и пешеходов, в случае обращения за получением разрешения на вырубку зеленых насаждений, проводимой на проезжей части;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  <w:r>
              <w:rPr>
                <w:rFonts w:ascii="Arial" w:hAnsi="Arial"/>
                <w:sz w:val="24"/>
                <w:szCs w:val="24"/>
              </w:rPr>
              <w:t xml:space="preserve">) </w:t>
            </w:r>
            <w:r>
              <w:rPr>
                <w:rFonts w:ascii="Arial" w:hAnsi="Arial"/>
                <w:sz w:val="24"/>
                <w:szCs w:val="24"/>
              </w:rPr>
              <w:t>р</w:t>
            </w:r>
            <w:r>
              <w:rPr>
                <w:rFonts w:ascii="Arial" w:hAnsi="Arial"/>
                <w:sz w:val="24"/>
                <w:szCs w:val="24"/>
              </w:rPr>
              <w:t>азрешение на строительство.</w:t>
            </w:r>
          </w:p>
        </w:tc>
      </w:tr>
      <w:tr>
        <w:trPr>
          <w:trHeight w:val="47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hd w:fill="auto" w:val="clear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11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ind w:hanging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разрешение на право вырубки зеленых насаждений.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hd w:fill="auto" w:val="clear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17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hd w:fill="auto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color w:val="auto" w:themeShade="80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hd w:fill="auto" w:val="clear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hd w:fill="auto" w:val="clear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Постановление 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4"/>
                <w:szCs w:val="24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от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24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августа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2023 года № 11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03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4"/>
                <w:szCs w:val="24"/>
                <w:lang w:eastAsia="zh-CN" w:bidi="ar-SA"/>
              </w:rPr>
              <w:t>Об утверждении Административного регламента предоставления Администрацией Щучанского муниципального округа Курганской области муниципальной услуги «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4"/>
                <w:szCs w:val="24"/>
                <w:lang w:eastAsia="zh-CN"/>
              </w:rPr>
              <w:t>Выдача разрешений на право вырубки зеленых насаждений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4"/>
                <w:szCs w:val="24"/>
                <w:lang w:eastAsia="zh-CN" w:bidi="ar-SA"/>
              </w:rPr>
              <w:t xml:space="preserve"> на территории Щучанского муниципального округа Курганской области»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color w:val="00000A"/>
      <w:kern w:val="0"/>
      <w:sz w:val="22"/>
      <w:szCs w:val="20"/>
      <w:lang w:eastAsia="ru-RU" w:val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Application>LibreOffice/7.0.4.2$Windows_X86_64 LibreOffice_project/dcf040e67528d9187c66b2379df5ea4407429775</Application>
  <AppVersion>15.0000</AppVersion>
  <DocSecurity>0</DocSecurity>
  <Pages>3</Pages>
  <Words>573</Words>
  <Characters>4438</Characters>
  <CharactersWithSpaces>4962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2024-11-20T10:55:41Z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