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1"/>
                <w:sz w:val="24"/>
                <w:szCs w:val="24"/>
                <w:highlight w:val="white"/>
              </w:rPr>
              <w:t>Присвоение, изменение и аннулирование адресов объектов адресации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</w:rPr>
              <w:t>Отдел архитектуры и градостраительства Управления по развитию территории Администрации Щучанского муниципального округа Курганской области.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0" w:right="0" w:firstLine="2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white"/>
                <w:u w:val="none"/>
                <w:lang w:bidi="ru-RU"/>
              </w:rPr>
              <w:t>Собственники жилых (нежилых) помещений, расположенных на территории муниципального округа (далее - Заявитель), а также лица, имеющие право в силу наделения их соответствующими полномочиями в порядке, установленном законодательством РФ, выступать от имени Заявителей при предоставлении муниципальной услуги</w:t>
            </w:r>
          </w:p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0" w:right="0" w:firstLine="2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white"/>
                <w:u w:val="none"/>
                <w:lang w:bidi="ru-RU"/>
              </w:rPr>
              <w:t>Полномочия представителя Заявителя, подтверждаются доверенностью, оформленной в соответствии с требованиями законодательства РФ.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 заявление для присвоения (изменения, аннулирования адреса (адресов) объекту (объектам) адресации, подписанное непосредственно Заявителем;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2) документ, удостоверяющий личность Заявителя (представителя заявителя);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3) 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4) документ, подтверждающий полномочия юридического лица (в случае обращения юридического лица);</w:t>
            </w:r>
          </w:p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</w:rPr>
              <w:t>5) правоустанавливающие и (или) право-удостоверяющие документы на объект (объекты) адресации, если право на него (них) не зарегистрировано в Едином государственном реестре прав на недвижимое имущество и сделок с ним;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а) правоустанавливающие и (или) право- 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 удостоверяющие документы на земельный участок, на котором расположены указанное здание (строение), сооружение);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в)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на основании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адресации);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</w:rPr>
      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на основании прекращения существования объекта адресации и (или) снятия с государственного кадстрового учета объекта недвижимости, являющегося объектом адресации).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highlight w:val="white"/>
              </w:rPr>
              <w:t xml:space="preserve">1) Размещение постановления </w:t>
            </w:r>
            <w:r>
              <w:rPr>
                <w:rFonts w:cs="Arial" w:ascii="Arial" w:hAnsi="Arial"/>
                <w:sz w:val="22"/>
                <w:szCs w:val="22"/>
                <w:highlight w:val="white"/>
              </w:rPr>
              <w:t>о присвоении, изменении или аннулировании адреса объекта адресации в ФИАС;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highlight w:val="white"/>
              </w:rPr>
              <w:t>2) выдача (направление) постановления о присвоении, изменении или аннулировании адреса объекта адресации;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2"/>
                <w:rFonts w:cs="Arial" w:ascii="Arial" w:hAnsi="Arial"/>
                <w:bCs/>
                <w:color w:val="000000"/>
                <w:sz w:val="22"/>
                <w:szCs w:val="22"/>
                <w:highlight w:val="white"/>
              </w:rPr>
              <w:t>3) решение об отказе в присвоении, изменении или аннулировании адреса объекта адресации.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highlight w:val="white"/>
              </w:rPr>
              <w:t>не позднее чем через 14 дней</w:t>
            </w:r>
          </w:p>
        </w:tc>
      </w:tr>
      <w:tr>
        <w:trPr>
          <w:trHeight w:val="785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252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 xml:space="preserve">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24 августа 2023 года №1101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  <w:highlight w:val="white"/>
              </w:rPr>
              <w:t xml:space="preserve">Об утверждении Административного регламента предоставления Администрацией Щучанского муниципального округа Курганской области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</w:rPr>
              <w:t xml:space="preserve">муниципальной услуги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2"/>
                <w:szCs w:val="22"/>
                <w:highlight w:val="white"/>
              </w:rPr>
              <w:t>«Присвоение, изменение и аннулирование адресов объектов адресации»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 w:customStyle="1">
    <w:name w:val="Интернет-ссылка"/>
    <w:basedOn w:val="DefaultParagraphFont"/>
    <w:rPr>
      <w:color w:val="0000FF"/>
      <w:u w:val="single"/>
    </w:rPr>
  </w:style>
  <w:style w:type="character" w:styleId="Style15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31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2">
    <w:name w:val="Основной текст (3) +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3">
    <w:name w:val="Основной текст (3) + Не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Style18">
    <w:name w:val="Гипертекстовая ссылка"/>
    <w:qFormat/>
    <w:rPr>
      <w:color w:val="106BBE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4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</TotalTime>
  <Application>LibreOffice/7.0.4.2$Windows_X86_64 LibreOffice_project/dcf040e67528d9187c66b2379df5ea4407429775</Application>
  <AppVersion>15.0000</AppVersion>
  <Pages>2</Pages>
  <Words>603</Words>
  <Characters>4634</Characters>
  <CharactersWithSpaces>5200</CharactersWithSpaces>
  <Paragraphs>37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2024-12-24T15:29:55Z</dcterms:modified>
  <cp:revision>391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