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5" w:type="dxa"/>
        <w:tblLayout w:type="fixed"/>
        <w:tblCellMar>
          <w:top w:w="150" w:type="dxa"/>
          <w:left w:w="150" w:type="dxa"/>
          <w:bottom w:w="150" w:type="dxa"/>
          <w:right w:w="150" w:type="dxa"/>
        </w:tblCellMar>
        <w:tblLook w:firstRow="1" w:noVBand="1" w:lastRow="0" w:firstColumn="1" w:lastColumn="0" w:noHBand="0" w:val="04a0"/>
      </w:tblPr>
      <w:tblGrid>
        <w:gridCol w:w="3232"/>
        <w:gridCol w:w="12130"/>
      </w:tblGrid>
      <w:tr>
        <w:trPr/>
        <w:tc>
          <w:tcPr>
            <w:tcW w:w="3232"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bCs/>
                <w:color w:val="auto" w:themeShade="80"/>
                <w:shd w:fill="auto" w:val="clear"/>
                <w:lang w:eastAsia="ru-RU"/>
              </w:rPr>
            </w:pPr>
            <w:r>
              <w:rPr>
                <w:rFonts w:eastAsia="Times New Roman" w:cs="Arial" w:ascii="Arial" w:hAnsi="Arial"/>
                <w:b/>
                <w:bCs/>
                <w:color w:val="000000" w:themeShade="80"/>
                <w:shd w:fill="auto" w:val="clear"/>
                <w:lang w:eastAsia="ru-RU"/>
              </w:rPr>
              <w:t>Наименование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b/>
                <w:b/>
                <w:bCs/>
                <w:sz w:val="24"/>
                <w:szCs w:val="24"/>
              </w:rPr>
            </w:pPr>
            <w:r>
              <w:rPr>
                <w:rFonts w:ascii="Arial" w:hAnsi="Arial"/>
                <w:b/>
                <w:bCs/>
                <w:sz w:val="24"/>
                <w:szCs w:val="24"/>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Щучанского муниципального округа Курганской области, а также посадки (взлета) на расположенные в границах Щучанского муниципального округа Курганской области площадки, сведения о которых не опубликованы в документах аэронавигационной информации</w:t>
            </w:r>
          </w:p>
        </w:tc>
      </w:tr>
      <w:tr>
        <w:trPr/>
        <w:tc>
          <w:tcPr>
            <w:tcW w:w="3232" w:type="dxa"/>
            <w:tcBorders>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bCs/>
                <w:color w:val="auto" w:themeShade="80"/>
                <w:shd w:fill="auto" w:val="clear"/>
                <w:lang w:eastAsia="ru-RU"/>
              </w:rPr>
            </w:pPr>
            <w:r>
              <w:rPr>
                <w:rFonts w:eastAsia="Times New Roman" w:cs="Arial" w:ascii="Arial" w:hAnsi="Arial"/>
                <w:b/>
                <w:bCs/>
                <w:color w:val="000000" w:themeShade="80"/>
                <w:shd w:fill="auto" w:val="clear"/>
                <w:lang w:eastAsia="ru-RU"/>
              </w:rPr>
              <w:t>Услуга предоставляется</w:t>
            </w:r>
          </w:p>
        </w:tc>
        <w:tc>
          <w:tcPr>
            <w:tcW w:w="12130"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cs="Arial"/>
                <w:sz w:val="24"/>
                <w:szCs w:val="24"/>
                <w:highlight w:val="white"/>
              </w:rPr>
            </w:pPr>
            <w:r>
              <w:rPr>
                <w:rFonts w:eastAsia="Arial" w:cs="Arial" w:ascii="Arial" w:hAnsi="Arial"/>
                <w:color w:val="000000"/>
                <w:sz w:val="24"/>
                <w:szCs w:val="24"/>
                <w:highlight w:val="white"/>
              </w:rPr>
              <w:t xml:space="preserve">Администрация </w:t>
            </w:r>
            <w:r>
              <w:rPr>
                <w:rFonts w:eastAsia="Arial" w:cs="Arial" w:ascii="Arial" w:hAnsi="Arial"/>
                <w:color w:val="00000A"/>
                <w:sz w:val="24"/>
                <w:szCs w:val="24"/>
                <w:highlight w:val="white"/>
              </w:rPr>
              <w:t>Щучанского</w:t>
            </w:r>
            <w:r>
              <w:rPr>
                <w:rFonts w:eastAsia="Arial" w:cs="Arial" w:ascii="Arial" w:hAnsi="Arial"/>
                <w:color w:val="000000"/>
                <w:sz w:val="24"/>
                <w:szCs w:val="24"/>
                <w:highlight w:val="white"/>
              </w:rPr>
              <w:t xml:space="preserve"> муниципального округа Курганской области</w:t>
            </w:r>
          </w:p>
        </w:tc>
      </w:tr>
      <w:tr>
        <w:trPr/>
        <w:tc>
          <w:tcPr>
            <w:tcW w:w="3232"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bCs/>
                <w:color w:val="auto" w:themeShade="80"/>
                <w:shd w:fill="auto" w:val="clear"/>
                <w:lang w:eastAsia="ru-RU"/>
              </w:rPr>
            </w:pPr>
            <w:r>
              <w:rPr>
                <w:rFonts w:eastAsia="Times New Roman" w:cs="Arial" w:ascii="Arial" w:hAnsi="Arial"/>
                <w:b/>
                <w:bCs/>
                <w:color w:val="000000" w:themeShade="80"/>
                <w:shd w:fill="auto" w:val="clear"/>
                <w:lang w:eastAsia="ru-RU"/>
              </w:rPr>
              <w:t>Ответственный орган</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Web"/>
              <w:widowControl w:val="false"/>
              <w:shd w:val="clear" w:color="auto" w:fill="auto"/>
              <w:tabs>
                <w:tab w:val="clear" w:pos="720"/>
                <w:tab w:val="left" w:pos="426" w:leader="none"/>
              </w:tabs>
              <w:spacing w:lineRule="auto" w:line="240" w:before="0" w:after="0"/>
              <w:ind w:left="0" w:hanging="0"/>
              <w:contextualSpacing/>
              <w:jc w:val="both"/>
              <w:rPr/>
            </w:pPr>
            <w:r>
              <w:rPr>
                <w:rStyle w:val="41"/>
                <w:rFonts w:cs="Arial" w:ascii="Arial" w:hAnsi="Arial"/>
                <w:i w:val="false"/>
                <w:iCs w:val="false"/>
                <w:color w:val="000000" w:themeColor="text1"/>
                <w:sz w:val="24"/>
                <w:szCs w:val="24"/>
              </w:rPr>
              <w:t>Управления по развитию территории Администрации Щучанского муниципального округа Курганской области.</w:t>
            </w:r>
          </w:p>
        </w:tc>
      </w:tr>
      <w:tr>
        <w:trPr>
          <w:trHeight w:val="910" w:hRule="atLeast"/>
        </w:trPr>
        <w:tc>
          <w:tcPr>
            <w:tcW w:w="3232" w:type="dxa"/>
            <w:tcBorders>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bCs/>
                <w:color w:val="auto" w:themeShade="80"/>
                <w:shd w:fill="auto" w:val="clear"/>
                <w:lang w:eastAsia="ru-RU"/>
              </w:rPr>
            </w:pPr>
            <w:r>
              <w:rPr>
                <w:rFonts w:eastAsia="Times New Roman" w:cs="Arial" w:ascii="Arial" w:hAnsi="Arial"/>
                <w:b/>
                <w:bCs/>
                <w:color w:val="000000" w:themeShade="80"/>
                <w:shd w:fill="auto" w:val="clear"/>
                <w:lang w:eastAsia="ru-RU"/>
              </w:rPr>
              <w:t>Получатели услуги</w:t>
            </w:r>
          </w:p>
        </w:tc>
        <w:tc>
          <w:tcPr>
            <w:tcW w:w="12130" w:type="dxa"/>
            <w:tcBorders>
              <w:left w:val="single" w:sz="6" w:space="0" w:color="EDEDED"/>
              <w:bottom w:val="single" w:sz="6" w:space="0" w:color="EDEDED"/>
              <w:right w:val="single" w:sz="6" w:space="0" w:color="EDEDED"/>
            </w:tcBorders>
            <w:shd w:color="auto" w:fill="auto" w:val="clear"/>
            <w:tcMar>
              <w:left w:w="118" w:type="dxa"/>
            </w:tcMar>
          </w:tcPr>
          <w:p>
            <w:pPr>
              <w:pStyle w:val="NormalWeb"/>
              <w:widowControl w:val="false"/>
              <w:shd w:val="clear" w:color="auto" w:fill="auto"/>
              <w:tabs>
                <w:tab w:val="clear" w:pos="720"/>
                <w:tab w:val="left" w:pos="360" w:leader="none"/>
              </w:tabs>
              <w:spacing w:lineRule="auto" w:line="240" w:before="0" w:after="0"/>
              <w:ind w:left="0" w:hanging="0"/>
              <w:contextualSpacing/>
              <w:jc w:val="both"/>
              <w:rPr/>
            </w:pPr>
            <w:r>
              <w:rPr>
                <w:rFonts w:cs="Arial" w:ascii="Arial" w:hAnsi="Arial"/>
                <w:b w:val="false"/>
                <w:i w:val="false"/>
                <w:strike w:val="false"/>
                <w:dstrike w:val="false"/>
                <w:color w:val="000000" w:themeColor="text1"/>
                <w:sz w:val="24"/>
                <w:szCs w:val="24"/>
                <w:u w:val="none"/>
              </w:rPr>
              <w:t>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а также иные лица, уполномоченные Заявителем в установленном порядке.</w:t>
            </w:r>
          </w:p>
        </w:tc>
      </w:tr>
      <w:tr>
        <w:trPr>
          <w:trHeight w:val="117" w:hRule="atLeast"/>
        </w:trPr>
        <w:tc>
          <w:tcPr>
            <w:tcW w:w="3232"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bCs/>
                <w:color w:val="auto" w:themeShade="80"/>
                <w:shd w:fill="auto" w:val="clear"/>
                <w:lang w:eastAsia="ru-RU"/>
              </w:rPr>
            </w:pPr>
            <w:r>
              <w:rPr>
                <w:rFonts w:eastAsia="Times New Roman" w:cs="Arial" w:ascii="Arial" w:hAnsi="Arial"/>
                <w:b/>
                <w:bCs/>
                <w:color w:val="000000" w:themeShade="80"/>
                <w:shd w:fill="auto" w:val="clear"/>
                <w:lang w:eastAsia="ru-RU"/>
              </w:rPr>
              <w:t>Обязательные документы</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Web"/>
              <w:widowControl w:val="false"/>
              <w:numPr>
                <w:ilvl w:val="0"/>
                <w:numId w:val="1"/>
              </w:numPr>
              <w:tabs>
                <w:tab w:val="clear" w:pos="720"/>
                <w:tab w:val="left" w:pos="567" w:leader="none"/>
              </w:tabs>
              <w:bidi w:val="0"/>
              <w:spacing w:lineRule="auto" w:line="240" w:before="0" w:after="0"/>
              <w:ind w:left="0" w:right="0" w:hanging="0"/>
              <w:contextualSpacing/>
              <w:jc w:val="both"/>
              <w:rPr>
                <w:rFonts w:ascii="Arial" w:hAnsi="Arial"/>
                <w:sz w:val="24"/>
                <w:szCs w:val="24"/>
              </w:rPr>
            </w:pPr>
            <w:r>
              <w:rPr>
                <w:rFonts w:cs="Arial" w:ascii="Arial" w:hAnsi="Arial"/>
                <w:sz w:val="24"/>
                <w:szCs w:val="24"/>
              </w:rPr>
              <w:t>заявление о выдаче разрешения на выполнение авиационных работ;</w:t>
            </w:r>
          </w:p>
          <w:p>
            <w:pPr>
              <w:pStyle w:val="NormalWeb"/>
              <w:widowControl w:val="false"/>
              <w:numPr>
                <w:ilvl w:val="0"/>
                <w:numId w:val="1"/>
              </w:numPr>
              <w:tabs>
                <w:tab w:val="clear" w:pos="720"/>
                <w:tab w:val="left" w:pos="567" w:leader="none"/>
              </w:tabs>
              <w:bidi w:val="0"/>
              <w:spacing w:lineRule="auto" w:line="240" w:before="0" w:after="0"/>
              <w:ind w:left="0" w:right="0" w:hanging="0"/>
              <w:contextualSpacing/>
              <w:jc w:val="both"/>
              <w:rPr>
                <w:rFonts w:ascii="Arial" w:hAnsi="Arial"/>
                <w:sz w:val="24"/>
                <w:szCs w:val="24"/>
              </w:rPr>
            </w:pPr>
            <w:r>
              <w:rPr>
                <w:rFonts w:cs="Arial" w:ascii="Arial" w:hAnsi="Arial"/>
                <w:sz w:val="24"/>
                <w:szCs w:val="24"/>
              </w:rPr>
              <w:t>копия документа, удостоверяющего личность заявителя (если пользователем воздушного пространства является физическое лицо или индивидуальный предприниматель).</w:t>
            </w:r>
          </w:p>
          <w:p>
            <w:pPr>
              <w:pStyle w:val="NormalWeb"/>
              <w:widowControl w:val="false"/>
              <w:numPr>
                <w:ilvl w:val="0"/>
                <w:numId w:val="1"/>
              </w:numPr>
              <w:tabs>
                <w:tab w:val="clear" w:pos="720"/>
                <w:tab w:val="left" w:pos="567" w:leader="none"/>
              </w:tabs>
              <w:bidi w:val="0"/>
              <w:spacing w:lineRule="auto" w:line="240" w:before="0" w:after="0"/>
              <w:ind w:left="0" w:right="0" w:hanging="0"/>
              <w:contextualSpacing/>
              <w:jc w:val="both"/>
              <w:rPr>
                <w:rFonts w:ascii="Arial" w:hAnsi="Arial"/>
                <w:sz w:val="24"/>
                <w:szCs w:val="24"/>
              </w:rPr>
            </w:pPr>
            <w:r>
              <w:rPr>
                <w:rFonts w:cs="Arial" w:ascii="Arial" w:hAnsi="Arial"/>
                <w:sz w:val="24"/>
                <w:szCs w:val="24"/>
              </w:rPr>
              <w:t>копия документа, подтверждающего право владения воздушным судном на законных основаниях.</w:t>
            </w:r>
          </w:p>
        </w:tc>
      </w:tr>
      <w:tr>
        <w:trPr>
          <w:trHeight w:val="732" w:hRule="atLeast"/>
        </w:trPr>
        <w:tc>
          <w:tcPr>
            <w:tcW w:w="3232"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jc w:val="both"/>
              <w:rPr>
                <w:rFonts w:ascii="Arial" w:hAnsi="Arial"/>
                <w:b/>
                <w:b/>
                <w:bCs/>
                <w:color w:val="auto" w:themeShade="80"/>
                <w:shd w:fill="auto" w:val="clear"/>
              </w:rPr>
            </w:pPr>
            <w:r>
              <w:rPr>
                <w:rFonts w:eastAsia="Times New Roman" w:cs="Arial" w:ascii="Arial" w:hAnsi="Arial"/>
                <w:b/>
                <w:bCs/>
                <w:color w:val="000000" w:themeShade="80"/>
                <w:shd w:fill="auto" w:val="clear"/>
                <w:lang w:eastAsia="ru-RU"/>
              </w:rPr>
              <w:t>Необязательные документы</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numPr>
                <w:ilvl w:val="0"/>
                <w:numId w:val="0"/>
              </w:numPr>
              <w:spacing w:lineRule="auto" w:line="240" w:before="0" w:after="0"/>
              <w:ind w:left="0" w:right="0" w:hanging="0"/>
              <w:jc w:val="both"/>
              <w:rPr>
                <w:rFonts w:ascii="Arial" w:hAnsi="Arial" w:eastAsia="Calibri" w:cs=""/>
                <w:color w:val="00000A"/>
                <w:kern w:val="0"/>
                <w:sz w:val="24"/>
                <w:szCs w:val="24"/>
                <w:lang w:val="ru-RU" w:eastAsia="en-US" w:bidi="ar-SA"/>
              </w:rPr>
            </w:pPr>
            <w:r>
              <w:rPr>
                <w:rFonts w:eastAsia="Calibri" w:cs="" w:ascii="Arial" w:hAnsi="Arial"/>
                <w:color w:val="00000A"/>
                <w:kern w:val="0"/>
                <w:sz w:val="24"/>
                <w:szCs w:val="24"/>
                <w:lang w:val="ru-RU" w:eastAsia="en-US" w:bidi="ar-SA"/>
              </w:rPr>
              <w:t>1. Выписка ЕГРЮЛ;</w:t>
            </w:r>
          </w:p>
          <w:p>
            <w:pPr>
              <w:pStyle w:val="Normal"/>
              <w:widowControl w:val="false"/>
              <w:numPr>
                <w:ilvl w:val="0"/>
                <w:numId w:val="0"/>
              </w:numPr>
              <w:spacing w:lineRule="auto" w:line="240" w:before="0" w:after="0"/>
              <w:ind w:left="0" w:right="0" w:hanging="0"/>
              <w:jc w:val="both"/>
              <w:rPr>
                <w:rFonts w:ascii="Arial" w:hAnsi="Arial" w:eastAsia="Calibri" w:cs=""/>
                <w:color w:val="00000A"/>
                <w:kern w:val="0"/>
                <w:sz w:val="24"/>
                <w:szCs w:val="24"/>
                <w:lang w:val="ru-RU" w:eastAsia="en-US" w:bidi="ar-SA"/>
              </w:rPr>
            </w:pPr>
            <w:r>
              <w:rPr>
                <w:rFonts w:eastAsia="Calibri" w:cs="" w:ascii="Arial" w:hAnsi="Arial"/>
                <w:color w:val="00000A"/>
                <w:kern w:val="0"/>
                <w:sz w:val="24"/>
                <w:szCs w:val="24"/>
                <w:lang w:val="ru-RU" w:eastAsia="en-US" w:bidi="ar-SA"/>
              </w:rPr>
              <w:t>2. Выписка ЕГРИП.</w:t>
            </w:r>
          </w:p>
        </w:tc>
      </w:tr>
      <w:tr>
        <w:trPr>
          <w:trHeight w:val="22" w:hRule="atLeast"/>
        </w:trPr>
        <w:tc>
          <w:tcPr>
            <w:tcW w:w="3232"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bCs/>
                <w:color w:val="auto" w:themeShade="80"/>
                <w:shd w:fill="auto" w:val="clear"/>
                <w:lang w:eastAsia="ru-RU"/>
              </w:rPr>
            </w:pPr>
            <w:r>
              <w:rPr>
                <w:rFonts w:eastAsia="Times New Roman" w:cs="Arial" w:ascii="Arial" w:hAnsi="Arial"/>
                <w:b/>
                <w:bCs/>
                <w:color w:val="000000" w:themeShade="80"/>
                <w:shd w:fill="auto" w:val="clear"/>
                <w:lang w:eastAsia="ru-RU"/>
              </w:rPr>
              <w:t>Результат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jc w:val="both"/>
              <w:rPr>
                <w:rFonts w:ascii="Arial" w:hAnsi="Arial"/>
                <w:sz w:val="24"/>
                <w:szCs w:val="24"/>
              </w:rPr>
            </w:pPr>
            <w:r>
              <w:rPr>
                <w:rFonts w:ascii="Arial" w:hAnsi="Arial"/>
                <w:sz w:val="24"/>
                <w:szCs w:val="24"/>
              </w:rPr>
              <w:t>1)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Щучанского муниципального округа Курганской области, а также посадки (взлета) на расположенные в границах населенных пунктов Щучанского муниципального округа Курганской области площадки, сведения о которых не опубликованы в документах аэронавигационной информации;</w:t>
            </w:r>
          </w:p>
          <w:p>
            <w:pPr>
              <w:pStyle w:val="Normal"/>
              <w:widowControl w:val="false"/>
              <w:spacing w:before="0" w:after="200"/>
              <w:jc w:val="both"/>
              <w:rPr>
                <w:rFonts w:ascii="Arial" w:hAnsi="Arial"/>
                <w:sz w:val="24"/>
                <w:szCs w:val="24"/>
              </w:rPr>
            </w:pPr>
            <w:r>
              <w:rPr>
                <w:rFonts w:ascii="Arial" w:hAnsi="Arial"/>
                <w:sz w:val="24"/>
                <w:szCs w:val="24"/>
              </w:rPr>
              <w:t>2) выдача уведомления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Щучанского муниципального округа Курганской области, а также посадки (взлета) на расположенные в границах населенных пунктов Щучанского муниципального округа Курганской области площадки, сведения о которых не опубликованы в документах аэронавигационной информации.</w:t>
            </w:r>
          </w:p>
        </w:tc>
      </w:tr>
      <w:tr>
        <w:trPr>
          <w:trHeight w:val="643" w:hRule="atLeast"/>
        </w:trPr>
        <w:tc>
          <w:tcPr>
            <w:tcW w:w="3232"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bCs/>
                <w:color w:val="auto" w:themeShade="80"/>
                <w:shd w:fill="auto" w:val="clear"/>
                <w:lang w:eastAsia="ru-RU"/>
              </w:rPr>
            </w:pPr>
            <w:r>
              <w:rPr>
                <w:rFonts w:eastAsia="Times New Roman" w:cs="Arial" w:ascii="Arial" w:hAnsi="Arial"/>
                <w:b/>
                <w:bCs/>
                <w:color w:val="000000" w:themeShade="80"/>
                <w:shd w:fill="auto" w:val="clear"/>
                <w:lang w:eastAsia="ru-RU"/>
              </w:rPr>
              <w:t>Срок предоставления услуги</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before="0" w:after="200"/>
              <w:rPr>
                <w:rFonts w:ascii="Arial" w:hAnsi="Arial"/>
                <w:sz w:val="24"/>
                <w:szCs w:val="24"/>
              </w:rPr>
            </w:pPr>
            <w:r>
              <w:rPr>
                <w:rFonts w:ascii="Arial" w:hAnsi="Arial"/>
                <w:sz w:val="24"/>
                <w:szCs w:val="24"/>
              </w:rPr>
              <w:t>10 рабочих дней</w:t>
            </w:r>
          </w:p>
        </w:tc>
      </w:tr>
      <w:tr>
        <w:trPr>
          <w:trHeight w:val="527" w:hRule="atLeast"/>
        </w:trPr>
        <w:tc>
          <w:tcPr>
            <w:tcW w:w="3232"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bCs/>
                <w:color w:val="auto" w:themeShade="80"/>
                <w:shd w:fill="auto" w:val="clear"/>
                <w:lang w:eastAsia="ru-RU"/>
              </w:rPr>
            </w:pPr>
            <w:r>
              <w:rPr>
                <w:rFonts w:eastAsia="Times New Roman" w:cs="Arial" w:ascii="Arial" w:hAnsi="Arial"/>
                <w:b/>
                <w:bCs/>
                <w:color w:val="000000" w:themeShade="80"/>
                <w:shd w:fill="auto" w:val="clear"/>
                <w:lang w:eastAsia="ru-RU"/>
              </w:rPr>
              <w:t>Основания для отказа в приеме заявления</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ListParagraph"/>
              <w:widowControl w:val="false"/>
              <w:spacing w:lineRule="auto" w:line="240" w:before="0" w:after="0"/>
              <w:ind w:left="0" w:hanging="0"/>
              <w:contextualSpacing/>
              <w:jc w:val="both"/>
              <w:rPr>
                <w:rFonts w:ascii="Arial" w:hAnsi="Arial" w:cs="Arial"/>
                <w:sz w:val="24"/>
                <w:szCs w:val="24"/>
              </w:rPr>
            </w:pPr>
            <w:r>
              <w:rPr>
                <w:rFonts w:eastAsia="Times New Roman" w:cs="Arial" w:ascii="Arial" w:hAnsi="Arial"/>
                <w:color w:val="000000"/>
                <w:sz w:val="24"/>
                <w:szCs w:val="24"/>
                <w:highlight w:val="white"/>
                <w:lang w:eastAsia="ru-RU"/>
              </w:rPr>
              <w:t>Отсутствуют</w:t>
            </w:r>
          </w:p>
        </w:tc>
      </w:tr>
      <w:tr>
        <w:trPr/>
        <w:tc>
          <w:tcPr>
            <w:tcW w:w="3232"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b/>
                <w:b/>
                <w:bCs/>
                <w:color w:val="auto" w:themeShade="80"/>
                <w:shd w:fill="auto" w:val="clear"/>
              </w:rPr>
            </w:pPr>
            <w:r>
              <w:rPr>
                <w:rFonts w:eastAsia="Times New Roman" w:cs="Arial" w:ascii="Arial" w:hAnsi="Arial"/>
                <w:b/>
                <w:bCs/>
                <w:color w:val="000000" w:themeShade="80"/>
                <w:shd w:fill="auto" w:val="clear"/>
                <w:lang w:eastAsia="ru-RU"/>
              </w:rPr>
              <w:t>Стоимость</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cs="Arial"/>
                <w:sz w:val="24"/>
                <w:szCs w:val="24"/>
              </w:rPr>
            </w:pPr>
            <w:r>
              <w:rPr>
                <w:rFonts w:eastAsia="Times New Roman" w:cs="Arial" w:ascii="Arial" w:hAnsi="Arial"/>
                <w:color w:val="000000"/>
                <w:sz w:val="24"/>
                <w:szCs w:val="24"/>
                <w:lang w:eastAsia="ru-RU"/>
              </w:rPr>
              <w:t>Муниципальная услуга предоставляется бесплатно</w:t>
            </w:r>
          </w:p>
        </w:tc>
      </w:tr>
      <w:tr>
        <w:trPr>
          <w:trHeight w:val="1217" w:hRule="atLeast"/>
        </w:trPr>
        <w:tc>
          <w:tcPr>
            <w:tcW w:w="3232" w:type="dxa"/>
            <w:tcBorders>
              <w:top w:val="single" w:sz="6" w:space="0" w:color="EDEDED"/>
              <w:bottom w:val="single" w:sz="6" w:space="0" w:color="EDEDED"/>
              <w:right w:val="single" w:sz="6" w:space="0" w:color="EDEDED"/>
            </w:tcBorders>
            <w:shd w:fill="CCCCCC" w:val="clear"/>
          </w:tcPr>
          <w:p>
            <w:pPr>
              <w:pStyle w:val="Normal"/>
              <w:widowControl w:val="false"/>
              <w:spacing w:lineRule="auto" w:line="240" w:before="0" w:after="0"/>
              <w:rPr>
                <w:rFonts w:ascii="Arial" w:hAnsi="Arial" w:eastAsia="Times New Roman" w:cs="Arial"/>
                <w:b/>
                <w:b/>
                <w:bCs/>
                <w:color w:val="auto" w:themeShade="80"/>
                <w:shd w:fill="auto" w:val="clear"/>
                <w:lang w:eastAsia="ru-RU"/>
              </w:rPr>
            </w:pPr>
            <w:r>
              <w:rPr>
                <w:rFonts w:eastAsia="Times New Roman" w:cs="Arial" w:ascii="Arial" w:hAnsi="Arial"/>
                <w:b/>
                <w:bCs/>
                <w:color w:val="000000" w:themeShade="80"/>
                <w:shd w:fill="auto" w:val="clear"/>
                <w:lang w:eastAsia="ru-RU"/>
              </w:rPr>
              <w:t>Административный регламент</w:t>
            </w:r>
          </w:p>
        </w:tc>
        <w:tc>
          <w:tcPr>
            <w:tcW w:w="12130"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hd w:val="clear" w:color="auto" w:fill="FFFFFF"/>
              <w:spacing w:lineRule="auto" w:line="240" w:before="0" w:after="0"/>
              <w:jc w:val="both"/>
              <w:rPr>
                <w:rFonts w:ascii="Arial" w:hAnsi="Arial" w:cs="Arial"/>
                <w:sz w:val="24"/>
                <w:szCs w:val="24"/>
              </w:rPr>
            </w:pPr>
            <w:r>
              <w:rPr>
                <w:rFonts w:cs="Arial" w:ascii="Arial" w:hAnsi="Arial"/>
                <w:bCs/>
                <w:sz w:val="24"/>
                <w:szCs w:val="24"/>
              </w:rPr>
              <w:t xml:space="preserve">Постановление Администрации Щучанского муниципального округа Курганской области от 25.10.2023 № 1417 </w:t>
            </w:r>
            <w:r>
              <w:rPr>
                <w:rFonts w:cs="Arial" w:ascii="Arial" w:hAnsi="Arial"/>
                <w:b w:val="false"/>
                <w:bCs w:val="false"/>
                <w:sz w:val="24"/>
                <w:szCs w:val="24"/>
              </w:rPr>
              <w:t>«</w:t>
            </w:r>
            <w:r>
              <w:rPr>
                <w:rFonts w:cs="Arial" w:ascii="Arial" w:hAnsi="Arial"/>
                <w:b w:val="false"/>
                <w:bCs w:val="false"/>
                <w:color w:val="000000" w:themeColor="text1"/>
                <w:spacing w:val="-1"/>
                <w:sz w:val="24"/>
                <w:szCs w:val="24"/>
              </w:rPr>
              <w:t>Об утверждении Административного регламента предоставления Администрацией Щучанского муниципального округа Курганской области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Щучанского муниципального округа Курганской области, а также посадки (взлета) на расположенные в границах населенных пунктов Щучанского муниципального округа Курганской области площадки, сведения о которых не опубликованы в документах аэронавигационной информации»</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Style15" w:customStyle="1">
    <w:name w:val="Интернет-ссылка"/>
    <w:basedOn w:val="DefaultParagraphFont"/>
    <w:rPr>
      <w:color w:val="0000FF"/>
      <w:u w:val="single"/>
    </w:rPr>
  </w:style>
  <w:style w:type="character" w:styleId="Style16" w:customStyle="1">
    <w:name w:val="Посещённая гиперссылка"/>
    <w:basedOn w:val="DefaultParagraphFont"/>
    <w:rPr>
      <w:color w:val="800080"/>
      <w:u w:val="single"/>
    </w:rPr>
  </w:style>
  <w:style w:type="character" w:styleId="FontStyle20" w:customStyle="1">
    <w:name w:val="Font Style20"/>
    <w:basedOn w:val="DefaultParagraphFont"/>
    <w:qFormat/>
    <w:rPr>
      <w:rFonts w:ascii="Times New Roman" w:hAnsi="Times New Roman" w:cs="Times New Roman"/>
      <w:sz w:val="18"/>
      <w:szCs w:val="18"/>
    </w:rPr>
  </w:style>
  <w:style w:type="character" w:styleId="5" w:customStyle="1">
    <w:name w:val="Основной шрифт абзаца5"/>
    <w:qFormat/>
    <w:rPr/>
  </w:style>
  <w:style w:type="character" w:styleId="FontStyle63" w:customStyle="1">
    <w:name w:val="Font Style63"/>
    <w:qFormat/>
    <w:rPr>
      <w:rFonts w:ascii="Arial" w:hAnsi="Arial" w:cs="Arial"/>
      <w:sz w:val="24"/>
      <w:szCs w:val="24"/>
    </w:rPr>
  </w:style>
  <w:style w:type="character" w:styleId="WW8Num10z0" w:customStyle="1">
    <w:name w:val="WW8Num10z0"/>
    <w:qFormat/>
    <w:rPr>
      <w:rFonts w:cs="Liberation Sans"/>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4">
    <w:name w:val="Основной текст (4)_"/>
    <w:basedOn w:val="DefaultParagraphFont"/>
    <w:qFormat/>
    <w:rPr>
      <w:rFonts w:ascii="Times New Roman" w:hAnsi="Times New Roman" w:eastAsia="Times New Roman" w:cs="Times New Roman"/>
      <w:i/>
      <w:iCs/>
      <w:sz w:val="28"/>
      <w:szCs w:val="28"/>
      <w:u w:val="none"/>
    </w:rPr>
  </w:style>
  <w:style w:type="character" w:styleId="41">
    <w:name w:val="Основной текст (4) + Не курсив"/>
    <w:basedOn w:val="4"/>
    <w:qFormat/>
    <w:rPr>
      <w:rFonts w:ascii="Times New Roman" w:hAnsi="Times New Roman" w:eastAsia="Times New Roman" w:cs="Times New Roman"/>
      <w:i/>
      <w:iCs/>
      <w:color w:val="000000"/>
      <w:spacing w:val="0"/>
      <w:w w:val="100"/>
      <w:sz w:val="28"/>
      <w:szCs w:val="28"/>
      <w:u w:val="none"/>
      <w:lang w:val="ru-RU" w:eastAsia="ru-RU" w:bidi="ru-RU"/>
    </w:rPr>
  </w:style>
  <w:style w:type="character" w:styleId="Style17">
    <w:name w:val="Символ нумерации"/>
    <w:qFormat/>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lang w:eastAsia="ru-RU"/>
    </w:rPr>
  </w:style>
  <w:style w:type="paragraph" w:styleId="ConsPlusTitle" w:customStyle="1">
    <w:name w:val="ConsPlusTitle"/>
    <w:qFormat/>
    <w:rsid w:val="005c6575"/>
    <w:pPr>
      <w:widowControl w:val="false"/>
      <w:suppressAutoHyphens w:val="true"/>
      <w:bidi w:val="0"/>
      <w:spacing w:before="0" w:after="0"/>
      <w:jc w:val="left"/>
    </w:pPr>
    <w:rPr>
      <w:rFonts w:ascii="Calibri" w:hAnsi="Calibri" w:eastAsia="Times New Roman" w:cs="Calibr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Style23" w:customStyle="1">
    <w:name w:val="Содержимое таблицы"/>
    <w:basedOn w:val="Normal"/>
    <w:qFormat/>
    <w:pPr/>
    <w:rPr/>
  </w:style>
  <w:style w:type="paragraph" w:styleId="Style24" w:customStyle="1">
    <w:name w:val="Заголовок таблицы"/>
    <w:basedOn w:val="Style23"/>
    <w:qFormat/>
    <w:pPr/>
    <w:rPr/>
  </w:style>
  <w:style w:type="paragraph" w:styleId="Style110" w:customStyle="1">
    <w:name w:val="Style1"/>
    <w:basedOn w:val="Normal"/>
    <w:qFormat/>
    <w:pPr/>
    <w:rPr/>
  </w:style>
  <w:style w:type="paragraph" w:styleId="Style81" w:customStyle="1">
    <w:name w:val="Style8"/>
    <w:basedOn w:val="Normal"/>
    <w:qFormat/>
    <w:pPr>
      <w:widowControl w:val="false"/>
      <w:spacing w:lineRule="exact" w:line="253"/>
      <w:jc w:val="both"/>
    </w:pPr>
    <w:rPr/>
  </w:style>
  <w:style w:type="paragraph" w:styleId="NormalWeb">
    <w:name w:val="Normal (Web)"/>
    <w:basedOn w:val="Normal"/>
    <w:qFormat/>
    <w:pPr>
      <w:spacing w:before="280" w:after="280"/>
    </w:pPr>
    <w:rPr/>
  </w:style>
  <w:style w:type="paragraph" w:styleId="21">
    <w:name w:val="Основной текст (2)1"/>
    <w:basedOn w:val="Normal"/>
    <w:qFormat/>
    <w:pPr>
      <w:shd w:val="clear" w:color="auto" w:fill="FFFFFF"/>
      <w:spacing w:lineRule="atLeast" w:line="0" w:before="0" w:after="240"/>
      <w:jc w:val="right"/>
    </w:pPr>
    <w:rPr>
      <w:rFonts w:ascii="Times New Roman" w:hAnsi="Times New Roman" w:eastAsia="Times New Roman" w:cs="Times New Roman"/>
      <w:sz w:val="28"/>
      <w:szCs w:val="28"/>
    </w:rPr>
  </w:style>
  <w:style w:type="paragraph" w:styleId="42">
    <w:name w:val="Основной текст (4)"/>
    <w:basedOn w:val="Normal"/>
    <w:qFormat/>
    <w:pPr>
      <w:shd w:val="clear" w:color="auto" w:fill="FFFFFF"/>
      <w:spacing w:lineRule="exact" w:line="322"/>
      <w:jc w:val="both"/>
    </w:pPr>
    <w:rPr>
      <w:rFonts w:ascii="Times New Roman" w:hAnsi="Times New Roman" w:eastAsia="Times New Roman" w:cs="Times New Roman"/>
      <w:i/>
      <w:iCs/>
      <w:sz w:val="28"/>
      <w:szCs w:val="28"/>
    </w:rPr>
  </w:style>
  <w:style w:type="numbering" w:styleId="NoList" w:default="1">
    <w:name w:val="No List"/>
    <w:uiPriority w:val="99"/>
    <w:semiHidden/>
    <w:unhideWhenUsed/>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Application>LibreOffice/7.0.4.2$Windows_X86_64 LibreOffice_project/dcf040e67528d9187c66b2379df5ea4407429775</Application>
  <AppVersion>15.0000</AppVersion>
  <Pages>2</Pages>
  <Words>413</Words>
  <Characters>3269</Characters>
  <CharactersWithSpaces>3653</CharactersWithSpaces>
  <Paragraphs>26</Paragraphs>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2024-11-19T11:23:00Z</dcterms:created>
  <dc:creator>Надежда Николаевна Плотникова</dc:creator>
  <dc:description/>
  <dc:language>ru-RU</dc:language>
  <cp:lastModifiedBy/>
  <cp:lastPrinted>2018-08-08T10:10:00Z</cp:lastPrinted>
  <dcterms:modified xsi:type="dcterms:W3CDTF">2024-11-19T16:51:34Z</dcterms:modified>
  <cp:revision>81</cp:revision>
  <dc:subject/>
  <dc:title>"Градостроительный кодекс Российской Федерации" от 29.12.2004 N 190-ФЗ(ред. от 08.08.2024)(с изм. и доп., вступ. в силу с 01.09.2024)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