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Принятие на учет граждан в качестве нуждающихся в жилых помещениях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Подуслуги: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1) постановка на учет граждан в качестве нуждающихся в жилых помещениях;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2) внесение изменений в сведения о гражданах, нуждающихся в предоставлении жилого помещения;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3) предоставление информации о движении в очереди граждан, нуждающихся в предоставлении жилого помещения;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4) снятие с учета граждан, нуждающихся в предоставлении жилого помещения.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Отдел архитектуры и градостраительства Управления по развитию территории Администрации Щучанского муниципального округа Курганской области.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Liberation Sans" w:hAnsi="Liberation Sans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shd w:fill="auto" w:val="clear"/>
                <w:lang w:bidi="ru-RU"/>
              </w:rPr>
              <w:t>Физические лица- малоимущие и другие категории граждан, определённые федеральным законом, указом Президента Российской Федерации или законом субъекта Российской Федерации, нуждающиеся в жилых помещениях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right="0"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bidi="ru-RU"/>
              </w:rPr>
              <w:t>Интересы заявителей,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 обращении с целью Постановка на учет граждан, нуждающихся в предоставлении жилого помещения:</w:t>
            </w:r>
            <w:bookmarkStart w:id="0" w:name="sub_1206161"/>
            <w:bookmarkEnd w:id="0"/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1) Письменный запрос о предоставлении услуги;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Паспорт гражданина РФ либо иной документ, удостоверяющий личность каждого члена семьи;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3) 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 xml:space="preserve">СНИЛС </w:t>
            </w:r>
            <w:r>
              <w:rPr>
                <w:rFonts w:ascii="Arial" w:hAnsi="Arial"/>
                <w:sz w:val="22"/>
                <w:szCs w:val="22"/>
              </w:rPr>
              <w:t>всех членов семьи;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Документ, подтверждающий полномочия представителя (при обращении представителя);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 Копия свидетельства о рождении каждого члена семьи, свидетельства о заключении брака (расторжении брака), свидетельства о перемене имени, выданные компетентными органами иностранного государства, и их нотариально удостоверенный перевод на русский язык;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6) Копия документа, подтверждающего право пользования жилым помещением, занимаемым заявителем и членами его семьи (договор либо иной документ, подтверждающий право пользования жилым помещением);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7) Правоустанавливающие документы на жилое помещение (если право на жилое помещение не зарегистрировано в ЕГРН);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8) Медицинское заключение, подтверждающее наличие тяжелой формы хронического заболевания (при проживании в квартире, занятой несколькими семьями, если в составе семьи имеется больной, страдающий тяжелой формой хронического заболевания);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9) Документ, подтверждающий утрату (отсутствие) попечения родителей (при обращении лиц, относящихся к детям-сиротам или детям, оставшимся без попечения родителей);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10) Документ, подтверждающий льготную категорию гражданина (при обращении с причиной участие в боевых действиях, в войне, по ликвидации аварии, службы в подразделении особого риска);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11) Документ о признании гражданина, пострадавшим от политических репрессий (при обращении граждан, пострадавших от политических репрессий);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12) Документ, подтверждающий категорию заявителя, имеющего право на постановку на учет в качестве нуждающегося в предоставлении жилого помещения (при обращении иных лиц, относящимся к категории граждан, имеющих право на постановку на учет в качестве лиц, нуждающихся в предоставлении жилого помещения).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 обращении с целью Внесение изменений в сведения о гражданах, нуждающихся в предоставлении жилого помещения: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Письменный запрос о предоставлении услуги;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Паспорт гражданина РФ либо иной документ, удостоверяющий личность каждого члена семьи;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3) 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СНИЛС</w:t>
            </w:r>
            <w:r>
              <w:rPr>
                <w:rFonts w:ascii="Arial" w:hAnsi="Arial"/>
                <w:sz w:val="22"/>
                <w:szCs w:val="22"/>
              </w:rPr>
              <w:t xml:space="preserve"> всех членов семьи;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Документ, подтверждающий полномочия представителя (при обращении представителя);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 Документ, на основании которого необходимо внести изменения в сведения о гражданах, нуждающихся в предоставлении жилого помещения (при наличии).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 обращении с целью Предоставление информации о движении в очереди граждан, нуждающихся в предоставлении жилого помещения: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Письменный запрос о предоставлении услуги;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Паспорт гражданина РФ либо иной документ, удостоверяющий личность каждого члена семьи;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СНИЛС всех членов семьи;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Документ, подтверждающий полномочия представителя (при обращении представителя).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 обращении с целью Снятие с учета граждан, нуждающихся в предоставлении жилого помещения: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Письменный запрос о предоставлении услуги;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Паспорт гражданина РФ либо иной документ, удостоверяющий личность каждого члена семьи;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3) 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СНИЛС</w:t>
            </w:r>
            <w:r>
              <w:rPr>
                <w:rFonts w:ascii="Arial" w:hAnsi="Arial"/>
                <w:sz w:val="22"/>
                <w:szCs w:val="22"/>
              </w:rPr>
              <w:t xml:space="preserve"> всех членов семьи;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Документ, подтверждающий полномочия представителя (при обращении представителя);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5) Документ, на основании которого необходимо внести изменения в сведения о гражданах, нуждающихся в предоставлении жилого помещения (при наличии).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1) проверка действительности паспорта (расширенная);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2) выписка из Единого государственного реестра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3) правоустанавливающие документы на объекты недвижимости, права на которые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4) решение органа местного самоуправления о признании гражданина малоимущим (при обращении заявителя, относящегося к категории малоимущих граждан);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5) решение органа местного самоуправления о признании жилого помещения, занимаемого гражданином и членами семьи, непригодным для проживания, или о признании многоквартирного дома, в котором они проживают, аварийным и подлежащим сносу;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6) справка о наличии (отсутствии) у гражданина-заявителя и членов его семьи жилого помещения на территории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7) свидетельства о государственной регистрации актов гражданского состояния: о рождении несовершеннолетних членов семьи, об усыновлении (удочерении), о браке (расторжении брака), перемене имени;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8) сведения из Единого государственного реестра юридических лиц, в случае подачи заявления юридическим лицом (в случае обращения представителя ЮЛ);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9) сведения из Единого государственного реестра индивидуальных предпринимателей, в случае подачи заявления индивидуальным предпринимателем (в случае обращения представителя ИП);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10) сведения о регистрационном учете по месту жительства.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1) решение о принятии на учет граждан, нуждающихся в предоставлении жилого помещения;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2) уведомление об учете граждан, нуждающихся в предоставлении жилого помещения;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3) уведомление о снятии с учета граждан, нуждающихся в предоставлении жилого помещения;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</w:rPr>
              <w:t>4) решения об отказе в приеме документов, необходимых для предоставления услуги / об отказе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</w:rPr>
              <w:t>1) по принятию на учет граждан в качестве нуждающихся в жилых помещениях, внесению изменений в сведения о гражданах, нуждающихся в предоставлении жилого помещения, снятию с учета граждан, нуждающихся в предоставлении жилого помещения - 25 рабочих дней;</w:t>
            </w:r>
          </w:p>
          <w:p>
            <w:pPr>
              <w:pStyle w:val="Normal"/>
              <w:widowControl w:val="false"/>
              <w:shd w:val="clear" w:color="auto" w:fill="auto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2) по предоставлению информации о движении в очереди граждан, нуждающихся в предоставлении жилого помещения - 5 рабочих дней.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29 марта 2024 года №409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4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4"/>
                <w:lang w:val="ru-RU" w:eastAsia="zh-CN" w:bidi="ru-RU"/>
              </w:rPr>
              <w:t>муниципальной услуги «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ru-RU"/>
              </w:rPr>
              <w:t>Принятие на учет граждан в качестве, нуждающихся в жилых помещениях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4"/>
                <w:lang w:val="ru-RU" w:eastAsia="zh-CN" w:bidi="ru-RU"/>
              </w:rPr>
              <w:t xml:space="preserve"> на территории Щучанского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3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8">
    <w:name w:val="Гипертекстовая ссылка"/>
    <w:qFormat/>
    <w:rPr>
      <w:color w:val="106BB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4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Application>LibreOffice/7.0.4.2$Windows_X86_64 LibreOffice_project/dcf040e67528d9187c66b2379df5ea4407429775</Application>
  <AppVersion>15.0000</AppVersion>
  <Pages>3</Pages>
  <Words>864</Words>
  <Characters>6167</Characters>
  <CharactersWithSpaces>6961</CharactersWithSpaces>
  <Paragraphs>70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2024-12-24T15:29:23Z</dcterms:modified>
  <cp:revision>382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