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24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Передача в собственность граждан занимаемых ими жилых помещений жилого фонда (приватизация жилого фонда)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Физические лица, имеющие регистрацию по месту жительства на территории Курганской области, юридические лица, которые могут быть отнесены к категории лиц: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1. Граждане Российской Федерации, имеющие право пользования жилыми помещениями государственного или муниципального жилого фонда на условиях социального найма, с согласия всех имеющих право на приватизацию жилых помещений совершеннолетних и несовершеннолетних в возрасте от 14 до 18 лет.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2. Представитель заявителя, действующий на основании доверенности, оформленной в соответствии с законодательством Российской Федерации, на основании Федерального закона, либо на основании акта уполномоченного на то государственного органа или органа местного самоуправления (далее - представитель).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Заявление о предоставлении муниципальной услуги.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Согласия органов опеки и попечительства на приватизацию жилого помещения (если применимо);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Согласие попечителя на приватизацию жилого помещения (если применимо);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Согласие родителей (усыновителей) на приватизацию жилого помещения (если применимо);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Разрешение органов опеки и попечительства на приватизацию жилого помещения (если применимо);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Отказ от приватизации зарегистрированного лица (если применимо);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>Документ, подтверждающий, что ранее право на приватизацию жилья не было использовано, на каждого гражданина, претендующего на приватизацию жилого помещения, со всех мест жительства с 04.07.1991 до момента регистрации в занимаемом жилом помещении;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Cs/>
              </w:rPr>
              <w:t xml:space="preserve">Документ о рождении ребенка - при регистрации акта гражданского состояния </w:t>
            </w:r>
            <w:r>
              <w:rPr>
                <w:rFonts w:cs="Arial" w:ascii="Arial" w:hAnsi="Arial"/>
              </w:rPr>
              <w:t>компетентным органом иностранного государства по законам соответствующего иностранного государства;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Документ о смерти члена семьи -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      </w:r>
            <w:bookmarkStart w:id="0" w:name="sub_120610"/>
            <w:bookmarkEnd w:id="0"/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Документ о заключении (расторжении) брака - при регистрации акта гражданского состояния компетентным органом иностранного государства по законам соответствующего иностранного государства.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регистрационном учете по месту жительства или месту пребывания;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из единого государственного реестра записи актов гражданского состояния по запросу сведений о рождении, браке, смерти;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действительности паспорта гражданина Российской Федерации;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соответствии фамильно-именной группы, даты рождения, пола и СНИЛС;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из единого государственного реестра записи актов гражданского состояния о перемене фамилии, имени, отчестве;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наличии приватизируемого жилого помещения в реестре муниципальной (государственной) собственности;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сведения, подтверждающие, что ранее право заявителя на приватизацию не было использовано;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</w:rPr>
              <w:t>сведения о документах, подтверждающих право заявителя на пользование жилым помещением;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сведения о соглашении о расторжении договора передачи жилого помещения в собственность граждан.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 xml:space="preserve">1) </w:t>
            </w: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решение о передаче жилого помещения в собственность граждан с приложением проекта договора о передаче жилого помещения в собственность граждан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2) р</w:t>
            </w:r>
            <w:r>
              <w:rPr>
                <w:rStyle w:val="2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ешение об отказе в приватизации жилого помещения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в течение 35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марта 2024 года №401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ru-RU"/>
              </w:rPr>
              <w:t>муниципальной услуги «Передача в собственность граждан занимаемых ими жилых помещений жилого фонда (приватизация жилого фонда)» на территории Щучанского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Application>LibreOffice/7.0.4.2$Windows_X86_64 LibreOffice_project/dcf040e67528d9187c66b2379df5ea4407429775</Application>
  <AppVersion>15.0000</AppVersion>
  <Pages>2</Pages>
  <Words>514</Words>
  <Characters>3768</Characters>
  <CharactersWithSpaces>4217</CharactersWithSpaces>
  <Paragraphs>44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2024-12-24T15:27:59Z</dcterms:modified>
  <cp:revision>332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