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676" w:type="dxa"/>
        <w:jc w:val="left"/>
        <w:tblInd w:w="16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059"/>
        <w:gridCol w:w="12616"/>
      </w:tblGrid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Наименование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365" w:leader="none"/>
                <w:tab w:val="left" w:pos="3125" w:leader="none"/>
                <w:tab w:val="left" w:pos="5970" w:leader="none"/>
                <w:tab w:val="right" w:pos="9348" w:leader="none"/>
              </w:tabs>
              <w:spacing w:lineRule="exact" w:line="267" w:before="0" w:after="0"/>
              <w:ind w:left="0"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Предоставление разрешения на осуществление земляных работ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Услуга предоставляется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Администрацией Щучанского муниципального округа Курганской области</w:t>
            </w:r>
          </w:p>
        </w:tc>
      </w:tr>
      <w:tr>
        <w:trPr>
          <w:trHeight w:val="583" w:hRule="atLeast"/>
        </w:trPr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Ответственный орган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hanging="0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  <w:sz w:val="22"/>
                <w:szCs w:val="22"/>
                <w:highlight w:val="white"/>
              </w:rPr>
              <w:t>Отдел архитектуры и градостроительства Управления по развитию территории Администрации Щучанского муниципального округа Курганской области</w:t>
            </w:r>
          </w:p>
        </w:tc>
      </w:tr>
      <w:tr>
        <w:trPr/>
        <w:tc>
          <w:tcPr>
            <w:tcW w:w="3059" w:type="dxa"/>
            <w:tcBorders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Категории заявителей:</w:t>
            </w:r>
          </w:p>
        </w:tc>
        <w:tc>
          <w:tcPr>
            <w:tcW w:w="12616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322" w:leader="none"/>
              </w:tabs>
              <w:spacing w:lineRule="exact" w:line="273" w:before="0" w:after="0"/>
              <w:ind w:left="0" w:hanging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</w:rPr>
              <w:t>Физические лица, в том числе зарегистрированные в качестве индивидуальных предпринимателей, или юридические лица.</w:t>
            </w:r>
          </w:p>
        </w:tc>
      </w:tr>
      <w:tr>
        <w:trPr>
          <w:trHeight w:val="117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before="0" w:after="20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Запрос о предоставлении муниципальной услуги;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2) </w:t>
            </w:r>
            <w:r>
              <w:rPr>
                <w:rFonts w:cs="Arial" w:ascii="Arial" w:hAnsi="Arial"/>
                <w:sz w:val="22"/>
                <w:szCs w:val="22"/>
              </w:rPr>
              <w:t>Документ, удостоверяющий личность заявителя, представителя.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3) </w:t>
            </w:r>
            <w:r>
              <w:rPr>
                <w:rFonts w:cs="Arial" w:ascii="Arial" w:hAnsi="Arial"/>
                <w:sz w:val="22"/>
                <w:szCs w:val="22"/>
              </w:rPr>
              <w:t>Документ, подтверждающий полномочия представителя действовать от имени заявителя (в случае, если запрос подается представителем);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4) Гарантийное письмо по восстановлению покрытия;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5) приказ о назначении работника, ответственного за производство земляных работ с указанием контактной информации (для юридических лиц, являющихся исполнителем работ);</w:t>
            </w:r>
          </w:p>
        </w:tc>
      </w:tr>
      <w:tr>
        <w:trPr>
          <w:trHeight w:val="836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Необязательные документы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а) выписку из Единого государственного реестра индивидуальных предпринимателей (запрашивается для подтверждения регистрации индивидуального предпринимателя на территории Российской Федерации);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33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б) выписку из Единого государственного реестра юридических лиц (запрашивается в Федеральной налоговой службе Российской Федерации) (в случае обращения юридического лица)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63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в) выписку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71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г) уведомление о планируемом сносе;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77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д) разрешение на строительство,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77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е) разрешение на проведение работ по сохранению объектов культурного наследия;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132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ж) разрешение на вырубку зеленых насаждений,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75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з) разрешение на использование земель или земельного участка, находящихся в государственной или муниципальной собственности,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132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и) разрешение на размещение объекта,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86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к)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132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л) разрешение на установку и эксплуатацию рекламной конструкции;</w:t>
            </w:r>
          </w:p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086" w:leader="none"/>
              </w:tabs>
              <w:spacing w:lineRule="auto" w:line="240" w:before="0" w:after="0"/>
              <w:ind w:left="0" w:right="0"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м) технические условия для подключения к сетям инженерно- технического обеспечения;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Calibri" w:cs="Arial" w:ascii="Arial" w:hAnsi="Arial"/>
                <w:color w:val="00000A"/>
                <w:kern w:val="0"/>
                <w:sz w:val="22"/>
                <w:szCs w:val="22"/>
                <w:lang w:val="ru-RU" w:eastAsia="en-US" w:bidi="ar-SA"/>
              </w:rPr>
              <w:t>н) схему движения транспорта и пешеходов;</w:t>
            </w:r>
          </w:p>
        </w:tc>
      </w:tr>
      <w:tr>
        <w:trPr>
          <w:trHeight w:val="680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Результат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1) Разрешение на право производства земляных работ;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2) Решение о закрытии разрешения на осуществление земляных работ;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720" w:right="0" w:hanging="0"/>
              <w:rPr/>
            </w:pPr>
            <w:r>
              <w:rPr>
                <w:rStyle w:val="2"/>
                <w:rFonts w:cs="Arial" w:ascii="Arial" w:hAnsi="Arial"/>
                <w:color w:val="000000"/>
                <w:sz w:val="22"/>
                <w:szCs w:val="22"/>
                <w:lang w:bidi="ru-RU"/>
              </w:rPr>
              <w:t>3) Решение об отказе в предоставлении Муниципальной услуги.</w:t>
            </w:r>
          </w:p>
        </w:tc>
      </w:tr>
      <w:tr>
        <w:trPr>
          <w:trHeight w:val="643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Срок предоставления услуги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22"/>
              <w:widowControl w:val="false"/>
              <w:shd w:val="clear" w:color="auto" w:fill="auto"/>
              <w:tabs>
                <w:tab w:val="clear" w:pos="720"/>
                <w:tab w:val="left" w:pos="1408" w:leader="none"/>
                <w:tab w:val="left" w:pos="7383" w:leader="none"/>
              </w:tabs>
              <w:spacing w:lineRule="exact" w:line="273" w:before="0" w:after="0"/>
              <w:ind w:hanging="0"/>
              <w:jc w:val="both"/>
              <w:rPr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не более 10 рабочих дней со дня регистрации Заявления в Администрации;</w:t>
            </w:r>
          </w:p>
        </w:tc>
      </w:tr>
      <w:tr>
        <w:trPr>
          <w:trHeight w:val="785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Основания для отказа в приеме заявления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Отсутствуют</w:t>
            </w:r>
          </w:p>
        </w:tc>
      </w:tr>
      <w:tr>
        <w:trPr/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Стоимость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Муниципальная услуга предоставляется бесплатно</w:t>
            </w:r>
          </w:p>
        </w:tc>
      </w:tr>
      <w:tr>
        <w:trPr>
          <w:trHeight w:val="1252" w:hRule="atLeast"/>
        </w:trPr>
        <w:tc>
          <w:tcPr>
            <w:tcW w:w="30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CCCCCC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Административный регламент</w:t>
            </w:r>
          </w:p>
        </w:tc>
        <w:tc>
          <w:tcPr>
            <w:tcW w:w="12616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Постановление 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Администраци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>и</w:t>
            </w:r>
            <w:r>
              <w:rPr>
                <w:rFonts w:eastAsia="Times New Roman" w:ascii="Arial" w:hAnsi="Arial"/>
                <w:b w:val="false"/>
                <w:bCs w:val="false"/>
                <w:i w:val="false"/>
                <w:iCs w:val="false"/>
                <w:color w:val="auto"/>
                <w:sz w:val="22"/>
                <w:szCs w:val="22"/>
                <w:lang w:eastAsia="zh-CN" w:bidi="ar-SA"/>
              </w:rPr>
              <w:t xml:space="preserve"> Щучанского муниципального округа Курганской области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от </w:t>
            </w:r>
            <w:r>
              <w:rPr>
                <w:rFonts w:eastAsia="Calibri" w:cs="" w:ascii="Arial" w:hAnsi="Arial"/>
                <w:b w:val="false"/>
                <w:bCs w:val="false"/>
                <w:i w:val="false"/>
                <w:iCs w:val="false"/>
                <w:color w:val="00000A"/>
                <w:kern w:val="0"/>
                <w:sz w:val="22"/>
                <w:szCs w:val="22"/>
                <w:lang w:val="ru-RU" w:eastAsia="en-US" w:bidi="ar-SA"/>
              </w:rPr>
              <w:t>13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 сентябрь 2023 года №1261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</w:rPr>
              <w:t xml:space="preserve">Об утверждении Административного регламента предоставления </w:t>
            </w:r>
            <w:r>
              <w:rPr>
                <w:sz w:val="24"/>
                <w:szCs w:val="24"/>
              </w:rPr>
              <w:t xml:space="preserve">муниципальной услуги «Предоставление информации об объектах учета </w:t>
            </w:r>
            <w:r>
              <w:rPr>
                <w:rFonts w:eastAsia="Times New Roman"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ru-RU" w:eastAsia="zh-CN" w:bidi="ru-RU"/>
              </w:rPr>
              <w:t>из реестра муниципального имущества » на территории Щучанского муниципального округа Курганской области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next w:val="Normal"/>
    <w:qFormat/>
    <w:pPr>
      <w:keepNext w:val="true"/>
      <w:outlineLvl w:val="2"/>
    </w:pPr>
    <w:rPr>
      <w:rFonts w:ascii="Arial" w:hAnsi="Arial" w:cs="Arial"/>
      <w:b/>
      <w:szCs w:val="2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3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4" w:customStyle="1">
    <w:name w:val="Интернет-ссылка"/>
    <w:basedOn w:val="DefaultParagraphFont"/>
    <w:rPr>
      <w:color w:val="0000FF"/>
      <w:u w:val="single"/>
    </w:rPr>
  </w:style>
  <w:style w:type="character" w:styleId="Style15" w:customStyle="1">
    <w:name w:val="Посещённая гиперссылка"/>
    <w:basedOn w:val="DefaultParagraphFont"/>
    <w:rPr>
      <w:color w:val="800080"/>
      <w:u w:val="single"/>
    </w:rPr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5" w:customStyle="1">
    <w:name w:val="Основной шрифт абзаца5"/>
    <w:qFormat/>
    <w:rPr/>
  </w:style>
  <w:style w:type="character" w:styleId="FontStyle63" w:customStyle="1">
    <w:name w:val="Font Style63"/>
    <w:qFormat/>
    <w:rPr>
      <w:rFonts w:ascii="Arial" w:hAnsi="Arial" w:cs="Arial"/>
      <w:sz w:val="24"/>
      <w:szCs w:val="24"/>
    </w:rPr>
  </w:style>
  <w:style w:type="character" w:styleId="WW8Num10z0" w:customStyle="1">
    <w:name w:val="WW8Num10z0"/>
    <w:qFormat/>
    <w:rPr>
      <w:rFonts w:cs="Liberation Sans"/>
    </w:rPr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2" w:customStyle="1">
    <w:name w:val="Основной текст (2)_"/>
    <w:link w:val="20"/>
    <w:qFormat/>
    <w:rsid w:val="00cc53b2"/>
    <w:rPr>
      <w:sz w:val="28"/>
      <w:szCs w:val="28"/>
      <w:shd w:fill="FFFFFF" w:val="clear"/>
    </w:rPr>
  </w:style>
  <w:style w:type="character" w:styleId="Style16">
    <w:name w:val="Символ нумерации"/>
    <w:qFormat/>
    <w:rPr/>
  </w:style>
  <w:style w:type="character" w:styleId="Style17">
    <w:name w:val="Маркеры"/>
    <w:qFormat/>
    <w:rPr>
      <w:rFonts w:ascii="OpenSymbol" w:hAnsi="OpenSymbol" w:eastAsia="OpenSymbol" w:cs="OpenSymbol"/>
    </w:rPr>
  </w:style>
  <w:style w:type="character" w:styleId="31">
    <w:name w:val="Основной текст (3) + Не полужирный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51">
    <w:name w:val="Основной текст (5) + Не курсив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pt">
    <w:name w:val="Основной текст (2) + Курсив;Интервал 1 p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color w:val="000000"/>
      <w:spacing w:val="20"/>
      <w:w w:val="100"/>
      <w:sz w:val="24"/>
      <w:szCs w:val="24"/>
      <w:u w:val="none"/>
      <w:lang w:val="ru-RU" w:eastAsia="ru-RU" w:bidi="ru-RU"/>
    </w:rPr>
  </w:style>
  <w:style w:type="character" w:styleId="23">
    <w:name w:val="Основной текст (2)3"/>
    <w:qFormat/>
    <w:rPr>
      <w:rFonts w:ascii="Times New Roman" w:hAnsi="Times New Roman" w:eastAsia="Arial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32">
    <w:name w:val="Основной текст (3) + Курсив"/>
    <w:qFormat/>
    <w:rPr>
      <w:rFonts w:ascii="Times New Roman" w:hAnsi="Times New Roman" w:eastAsia="Times New Roman" w:cs="Times New Roman"/>
      <w:b/>
      <w:bCs/>
      <w:i/>
      <w:iCs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styleId="21">
    <w:name w:val="Основной текст (2) + Курсив"/>
    <w:basedOn w:val="2"/>
    <w:qFormat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ru-RU" w:bidi="ar-SA"/>
    </w:rPr>
  </w:style>
  <w:style w:type="paragraph" w:styleId="Style23" w:customStyle="1">
    <w:name w:val="Содержимое таблицы"/>
    <w:basedOn w:val="Normal"/>
    <w:qFormat/>
    <w:pPr/>
    <w:rPr/>
  </w:style>
  <w:style w:type="paragraph" w:styleId="Style24" w:customStyle="1">
    <w:name w:val="Заголовок таблицы"/>
    <w:basedOn w:val="Style23"/>
    <w:qFormat/>
    <w:pPr/>
    <w:rPr/>
  </w:style>
  <w:style w:type="paragraph" w:styleId="Style110" w:customStyle="1">
    <w:name w:val="Style1"/>
    <w:basedOn w:val="Normal"/>
    <w:qFormat/>
    <w:pPr/>
    <w:rPr/>
  </w:style>
  <w:style w:type="paragraph" w:styleId="Style81" w:customStyle="1">
    <w:name w:val="Style8"/>
    <w:basedOn w:val="Normal"/>
    <w:qFormat/>
    <w:pPr>
      <w:widowControl w:val="false"/>
      <w:spacing w:lineRule="exact" w:line="253"/>
      <w:jc w:val="both"/>
    </w:pPr>
    <w:rPr/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22" w:customStyle="1">
    <w:name w:val="Основной текст (2)"/>
    <w:basedOn w:val="Normal"/>
    <w:link w:val="2"/>
    <w:qFormat/>
    <w:rsid w:val="00cc53b2"/>
    <w:pPr>
      <w:widowControl w:val="false"/>
      <w:shd w:val="clear" w:color="auto" w:fill="FFFFFF"/>
      <w:spacing w:lineRule="exact" w:line="322" w:before="300" w:after="0"/>
      <w:ind w:hanging="900"/>
      <w:jc w:val="both"/>
    </w:pPr>
    <w:rPr>
      <w:color w:val="auto"/>
      <w:sz w:val="28"/>
      <w:szCs w:val="28"/>
    </w:rPr>
  </w:style>
  <w:style w:type="paragraph" w:styleId="11">
    <w:name w:val="Основной текст1"/>
    <w:basedOn w:val="Normal"/>
    <w:qFormat/>
    <w:pPr>
      <w:ind w:firstLine="400"/>
    </w:pPr>
    <w:rPr>
      <w:rFonts w:ascii="Times New Roman" w:hAnsi="Times New Roman" w:eastAsia="Times New Roman" w:cs="Times New Roman"/>
    </w:rPr>
  </w:style>
  <w:style w:type="paragraph" w:styleId="24">
    <w:name w:val="Заголовок №2"/>
    <w:basedOn w:val="Normal"/>
    <w:qFormat/>
    <w:pPr>
      <w:widowControl w:val="false"/>
      <w:shd w:val="clear" w:color="auto" w:fill="FFFFFF"/>
      <w:spacing w:lineRule="atLeast" w:line="0" w:before="600" w:after="720"/>
      <w:ind w:hanging="1900"/>
      <w:jc w:val="center"/>
      <w:outlineLvl w:val="1"/>
    </w:pPr>
    <w:rPr>
      <w:b/>
      <w:bCs/>
      <w:sz w:val="28"/>
      <w:szCs w:val="28"/>
    </w:rPr>
  </w:style>
  <w:style w:type="paragraph" w:styleId="33">
    <w:name w:val="Основной текст (3)"/>
    <w:basedOn w:val="Normal"/>
    <w:qFormat/>
    <w:pPr>
      <w:shd w:val="clear" w:color="auto" w:fill="FFFFFF"/>
      <w:spacing w:lineRule="exact" w:line="322" w:before="420" w:after="0"/>
    </w:pPr>
    <w:rPr>
      <w:rFonts w:ascii="Times New Roman" w:hAnsi="Times New Roman" w:eastAsia="Times New Roman" w:cs="Times New Roman"/>
      <w:b/>
      <w:bCs/>
      <w:sz w:val="28"/>
      <w:szCs w:val="28"/>
    </w:rPr>
  </w:style>
  <w:style w:type="paragraph" w:styleId="52">
    <w:name w:val="Основной текст (5)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i/>
      <w:iCs/>
      <w:sz w:val="28"/>
      <w:szCs w:val="28"/>
    </w:rPr>
  </w:style>
  <w:style w:type="paragraph" w:styleId="211">
    <w:name w:val="Основной текст (2)1"/>
    <w:basedOn w:val="Normal"/>
    <w:qFormat/>
    <w:pPr>
      <w:shd w:val="clear" w:color="auto" w:fill="FFFFFF"/>
      <w:spacing w:lineRule="exact" w:line="322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4">
    <w:name w:val="Основной текст (4)"/>
    <w:basedOn w:val="Normal"/>
    <w:qFormat/>
    <w:pPr>
      <w:shd w:val="clear" w:fill="FFFFFF"/>
      <w:spacing w:lineRule="exact" w:line="281" w:before="1020" w:after="600"/>
      <w:jc w:val="center"/>
    </w:pPr>
    <w:rPr>
      <w:rFonts w:ascii="Arial" w:hAnsi="Arial" w:eastAsia="Arial" w:cs="Times New Roman"/>
      <w:b/>
      <w:bCs/>
      <w:color w:val="000000"/>
      <w:sz w:val="20"/>
      <w:szCs w:val="20"/>
      <w:lang w:val="ru-RU" w:bidi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0" w:customStyle="1">
    <w:name w:val="WW8Num10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Application>LibreOffice/7.0.4.2$Windows_X86_64 LibreOffice_project/dcf040e67528d9187c66b2379df5ea4407429775</Application>
  <AppVersion>15.0000</AppVersion>
  <Pages>2</Pages>
  <Words>349</Words>
  <Characters>2731</Characters>
  <CharactersWithSpaces>3040</CharactersWithSpaces>
  <Paragraphs>40</Paragraphs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2024-12-12T15:43:00Z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2024-12-24T15:26:32Z</dcterms:modified>
  <cp:revision>335</cp:revision>
  <dc:subject/>
  <dc:title>Федеральный закон от 21.12.2004 N 172-ФЗ(ред. от 25.12.2023)"О переводе земель или земельных участков из одной категории в другую"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