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63" w:type="dxa"/>
        <w:jc w:val="left"/>
        <w:tblInd w:w="13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874"/>
        <w:gridCol w:w="12488"/>
      </w:tblGrid>
      <w:tr>
        <w:trPr>
          <w:trHeight w:val="493" w:hRule="atLeast"/>
        </w:trPr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Наименование услуги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before="0" w:after="0"/>
              <w:ind w:right="253" w:hanging="0"/>
              <w:jc w:val="left"/>
              <w:rPr>
                <w:rFonts w:ascii="Arial" w:hAnsi="Arial" w:eastAsia="Calibri"/>
                <w:b/>
                <w:b/>
                <w:bCs/>
                <w:kern w:val="0"/>
                <w:sz w:val="21"/>
                <w:szCs w:val="21"/>
                <w:lang w:val="ru-RU" w:bidi="ar-SA"/>
              </w:rPr>
            </w:pPr>
            <w:r>
              <w:rPr>
                <w:rFonts w:eastAsia="Calibri" w:ascii="Arial" w:hAnsi="Arial"/>
                <w:b/>
                <w:bCs/>
                <w:kern w:val="0"/>
                <w:sz w:val="21"/>
                <w:szCs w:val="21"/>
                <w:lang w:val="ru-RU" w:bidi="ar-SA"/>
              </w:rPr>
              <w:t>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</w:t>
            </w:r>
          </w:p>
        </w:tc>
      </w:tr>
      <w:tr>
        <w:trPr/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Ответственный орган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eastAsia="Calibri" w:cs="" w:ascii="Arial" w:hAnsi="Arial" w:cstheme="minorBidi" w:eastAsiaTheme="minorHAnsi"/>
                <w:b/>
                <w:bCs/>
                <w:color w:val="auto"/>
                <w:kern w:val="0"/>
                <w:sz w:val="21"/>
                <w:szCs w:val="21"/>
                <w:lang w:val="ru-RU" w:eastAsia="en-US" w:bidi="ar-SA"/>
              </w:rPr>
              <w:t>Администрация Шатровского муниципального округа Курганской области</w:t>
            </w:r>
          </w:p>
        </w:tc>
      </w:tr>
      <w:tr>
        <w:trPr/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Услуга предоставляется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ind w:left="0" w:right="0" w:hanging="0"/>
              <w:jc w:val="left"/>
              <w:rPr>
                <w:rFonts w:ascii="Arial" w:hAnsi="Arial" w:eastAsia="Calibri" w:cs="PT Astra Serif"/>
                <w:b/>
                <w:b/>
                <w:bCs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PT Astra Serif" w:ascii="Arial" w:hAnsi="Arial"/>
                <w:b/>
                <w:bCs/>
                <w:color w:val="auto"/>
                <w:kern w:val="0"/>
                <w:sz w:val="22"/>
                <w:szCs w:val="22"/>
                <w:lang w:val="ru-RU" w:eastAsia="en-US" w:bidi="ar-SA"/>
              </w:rPr>
              <w:t>Сектор имущественных и земельных отношений отдела экономического развития Администрации Шатровского муниципального округа</w:t>
            </w:r>
          </w:p>
        </w:tc>
      </w:tr>
      <w:tr>
        <w:trPr>
          <w:trHeight w:val="435" w:hRule="atLeast"/>
        </w:trPr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Заявители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jc w:val="left"/>
              <w:rPr/>
            </w:pPr>
            <w:r>
              <w:rPr>
                <w:rStyle w:val="1"/>
                <w:rFonts w:cs="PT Astra Serif" w:ascii="Arial" w:hAnsi="Arial"/>
                <w:b/>
                <w:bCs/>
                <w:color w:val="000000"/>
                <w:sz w:val="21"/>
                <w:szCs w:val="21"/>
                <w:lang w:val="ru-RU"/>
              </w:rPr>
              <w:t>- физические лица, юридические лица и индивидуальные предприниматели</w:t>
            </w:r>
          </w:p>
          <w:p>
            <w:pPr>
              <w:pStyle w:val="Normal"/>
              <w:widowControl w:val="false"/>
              <w:spacing w:before="0" w:after="200"/>
              <w:ind w:hanging="0"/>
              <w:jc w:val="left"/>
              <w:rPr/>
            </w:pPr>
            <w:r>
              <w:rPr>
                <w:rStyle w:val="1"/>
                <w:rFonts w:cs="PT Astra Serif" w:ascii="Arial" w:hAnsi="Arial"/>
                <w:b/>
                <w:bCs/>
                <w:color w:val="000000"/>
                <w:sz w:val="21"/>
                <w:szCs w:val="21"/>
                <w:lang w:val="ru-RU"/>
              </w:rPr>
              <w:t>Интересы заявителей,  могут представлять лица, обладающие соответствующими полномочиями (далее – представитель).</w:t>
            </w:r>
          </w:p>
        </w:tc>
      </w:tr>
      <w:tr>
        <w:trPr>
          <w:trHeight w:val="1685" w:hRule="atLeast"/>
        </w:trPr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Обязательные документы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cs="PT Astra Serif" w:ascii="Arial" w:hAnsi="Arial"/>
                <w:b/>
                <w:bCs/>
                <w:sz w:val="21"/>
                <w:szCs w:val="21"/>
              </w:rPr>
              <w:t xml:space="preserve">- </w:t>
            </w:r>
            <w:r>
              <w:rPr>
                <w:rFonts w:cs="PT Astra Serif" w:ascii="Arial" w:hAnsi="Arial"/>
                <w:b/>
                <w:bCs/>
                <w:sz w:val="21"/>
                <w:szCs w:val="21"/>
              </w:rPr>
              <w:t xml:space="preserve">2 </w:t>
            </w:r>
            <w:r>
              <w:rPr>
                <w:rFonts w:cs="PT Astra Serif" w:ascii="Arial" w:hAnsi="Arial"/>
                <w:b/>
                <w:bCs/>
                <w:sz w:val="21"/>
                <w:szCs w:val="21"/>
              </w:rPr>
              <w:t xml:space="preserve">заявления </w:t>
            </w:r>
            <w:r>
              <w:rPr>
                <w:rFonts w:cs="PT Astra Serif" w:ascii="Arial" w:hAnsi="Arial"/>
                <w:b/>
                <w:bCs/>
                <w:sz w:val="21"/>
                <w:szCs w:val="21"/>
              </w:rPr>
              <w:t>(об утверждении схемы и на аукцион)</w:t>
            </w:r>
            <w:r>
              <w:rPr>
                <w:rFonts w:cs="PT Astra Serif" w:ascii="Arial" w:hAnsi="Arial"/>
                <w:b/>
                <w:bCs/>
                <w:sz w:val="21"/>
                <w:szCs w:val="21"/>
              </w:rPr>
              <w:t xml:space="preserve"> о предоставлении муниципальной услуги по форме</w:t>
            </w:r>
          </w:p>
          <w:p>
            <w:pPr>
              <w:pStyle w:val="Normal"/>
              <w:widowControl w:val="false"/>
              <w:ind w:hanging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cs="PT Astra Serif" w:ascii="Arial" w:hAnsi="Arial"/>
                <w:b/>
                <w:bCs/>
                <w:sz w:val="21"/>
                <w:szCs w:val="21"/>
              </w:rPr>
              <w:t>- документ, удостоверяющий личность заявителя, представителя</w:t>
            </w:r>
          </w:p>
          <w:p>
            <w:pPr>
              <w:pStyle w:val="Normal"/>
              <w:widowControl w:val="false"/>
              <w:ind w:hanging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cs="PT Astra Serif" w:ascii="Arial" w:hAnsi="Arial"/>
                <w:b/>
                <w:bCs/>
                <w:sz w:val="21"/>
                <w:szCs w:val="21"/>
              </w:rPr>
              <w:t>- схема расположения земельного участка (в случае направления заявления об утверждении схемы расположения земельного участка)</w:t>
            </w:r>
          </w:p>
          <w:p>
            <w:pPr>
              <w:pStyle w:val="Normal"/>
              <w:widowControl w:val="false"/>
              <w:ind w:left="0" w:right="0" w:hanging="0"/>
              <w:jc w:val="both"/>
              <w:rPr>
                <w:rFonts w:ascii="Arial" w:hAnsi="Arial" w:cs="PT Astra Serif"/>
                <w:b/>
                <w:b/>
                <w:bCs/>
                <w:sz w:val="21"/>
                <w:szCs w:val="21"/>
              </w:rPr>
            </w:pPr>
            <w:r>
              <w:rPr>
                <w:rFonts w:cs="PT Astra Serif" w:ascii="Arial" w:hAnsi="Arial"/>
                <w:b/>
                <w:bCs/>
                <w:sz w:val="21"/>
                <w:szCs w:val="21"/>
              </w:rPr>
              <w:t>- согласие землепользователей, землевладельцев, арендаторов на образование земельных участков (в случае направления заявления об утверждении схемы расположения земельного участка);</w:t>
            </w:r>
          </w:p>
          <w:p>
            <w:pPr>
              <w:pStyle w:val="Normal"/>
              <w:widowControl w:val="false"/>
              <w:spacing w:before="0" w:after="200"/>
              <w:ind w:left="0" w:right="0" w:hanging="0"/>
              <w:jc w:val="both"/>
              <w:rPr>
                <w:rFonts w:ascii="Arial" w:hAnsi="Arial" w:cs="PT Astra Serif"/>
                <w:sz w:val="21"/>
                <w:szCs w:val="21"/>
              </w:rPr>
            </w:pPr>
            <w:r>
              <w:rPr>
                <w:rFonts w:cs="PT Astra Serif" w:ascii="Arial" w:hAnsi="Arial"/>
                <w:b/>
                <w:bCs/>
                <w:sz w:val="21"/>
                <w:szCs w:val="21"/>
              </w:rPr>
              <w:t>- согласие залогодержателей исходных земельных участков (в случае направления заявления об утверждении схемы расположения земельного участка)</w:t>
            </w:r>
          </w:p>
        </w:tc>
      </w:tr>
      <w:tr>
        <w:trPr>
          <w:trHeight w:val="523" w:hRule="atLeast"/>
        </w:trPr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Необязательные документы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ind w:left="0" w:right="0" w:hanging="0"/>
              <w:jc w:val="both"/>
              <w:rPr>
                <w:rFonts w:ascii="Arial" w:hAnsi="Arial" w:cs="PT Astra Serif"/>
                <w:b/>
                <w:b/>
                <w:bCs/>
                <w:sz w:val="21"/>
                <w:szCs w:val="21"/>
              </w:rPr>
            </w:pPr>
            <w:r>
              <w:rPr>
                <w:rFonts w:cs="PT Astra Serif" w:ascii="Arial" w:hAnsi="Arial"/>
                <w:b/>
                <w:bCs/>
                <w:sz w:val="21"/>
                <w:szCs w:val="21"/>
              </w:rPr>
              <w:t>- сведения из Единого государственного реестра юридических лиц;</w:t>
            </w:r>
          </w:p>
          <w:p>
            <w:pPr>
              <w:pStyle w:val="Normal"/>
              <w:widowControl w:val="false"/>
              <w:spacing w:before="0" w:after="200"/>
              <w:ind w:left="0" w:right="0" w:hanging="0"/>
              <w:jc w:val="both"/>
              <w:rPr>
                <w:rFonts w:ascii="Arial" w:hAnsi="Arial" w:cs="PT Astra Serif"/>
                <w:b/>
                <w:b/>
                <w:bCs/>
                <w:sz w:val="21"/>
                <w:szCs w:val="21"/>
              </w:rPr>
            </w:pPr>
            <w:r>
              <w:rPr>
                <w:rFonts w:cs="PT Astra Serif" w:ascii="Arial" w:hAnsi="Arial"/>
                <w:b/>
                <w:bCs/>
                <w:sz w:val="21"/>
                <w:szCs w:val="21"/>
              </w:rPr>
              <w:t>- сведения из Единого государственного реестра индивидуальных предпринимателей;</w:t>
            </w:r>
          </w:p>
          <w:p>
            <w:pPr>
              <w:pStyle w:val="Normal"/>
              <w:widowControl w:val="false"/>
              <w:spacing w:before="0" w:after="200"/>
              <w:ind w:left="0" w:right="0" w:hanging="0"/>
              <w:jc w:val="both"/>
              <w:rPr>
                <w:rFonts w:ascii="Arial" w:hAnsi="Arial" w:cs="PT Astra Serif"/>
                <w:b/>
                <w:b/>
                <w:bCs/>
                <w:sz w:val="21"/>
                <w:szCs w:val="21"/>
              </w:rPr>
            </w:pPr>
            <w:r>
              <w:rPr>
                <w:rFonts w:cs="PT Astra Serif" w:ascii="Arial" w:hAnsi="Arial"/>
                <w:b/>
                <w:bCs/>
                <w:sz w:val="21"/>
                <w:szCs w:val="21"/>
              </w:rPr>
              <w:t>- выписка из Единого государственного реестра недвижимости об объекте недвижимости;</w:t>
            </w:r>
          </w:p>
          <w:p>
            <w:pPr>
              <w:pStyle w:val="Normal"/>
              <w:widowControl w:val="false"/>
              <w:spacing w:before="0" w:after="200"/>
              <w:ind w:left="0" w:right="0" w:hanging="0"/>
              <w:jc w:val="both"/>
              <w:rPr>
                <w:rFonts w:ascii="Arial" w:hAnsi="Arial" w:cs="PT Astra Serif"/>
                <w:b/>
                <w:b/>
                <w:bCs/>
                <w:sz w:val="21"/>
                <w:szCs w:val="21"/>
              </w:rPr>
            </w:pPr>
            <w:r>
              <w:rPr>
                <w:rFonts w:cs="PT Astra Serif" w:ascii="Arial" w:hAnsi="Arial"/>
                <w:b/>
                <w:bCs/>
                <w:sz w:val="21"/>
                <w:szCs w:val="21"/>
              </w:rPr>
              <w:t>- согласование схемы расположения земельного участка от органа исполнительной власти субъекта Российской Федерации, уполномоченного в области лесных отношений.</w:t>
            </w:r>
          </w:p>
        </w:tc>
      </w:tr>
      <w:tr>
        <w:trPr>
          <w:trHeight w:val="671" w:hRule="atLeast"/>
        </w:trPr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Результат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cs="PT Astra Serif" w:ascii="Arial" w:hAnsi="Arial"/>
                <w:b/>
                <w:bCs/>
                <w:sz w:val="21"/>
                <w:szCs w:val="21"/>
                <w:lang w:val="ru-RU"/>
              </w:rPr>
              <w:t>-решение об отказе в утверждении схемы расположения земельного участка по форме согласно Приложению 2 к настоящему Административному регламенту (в случае если земельный участок предстоит образовать и не утвержден проект межевания территории, в границах которой предусмотрено образование земельного участка);</w:t>
            </w:r>
          </w:p>
          <w:p>
            <w:pPr>
              <w:pStyle w:val="Normal"/>
              <w:widowControl w:val="false"/>
              <w:ind w:hanging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cs="PT Astra Serif" w:ascii="Arial" w:hAnsi="Arial"/>
                <w:b/>
                <w:bCs/>
                <w:sz w:val="21"/>
                <w:szCs w:val="21"/>
                <w:lang w:val="ru-RU"/>
              </w:rPr>
              <w:t>-решение о проведении аукциона (форма приведена в Приложении 3 к настоящему Административному регламенту). Проведение аукциона осуществляется в соответствии с требованиями Земельного кодекса Российской Федерации;</w:t>
            </w:r>
          </w:p>
          <w:p>
            <w:pPr>
              <w:pStyle w:val="Normal"/>
              <w:widowControl w:val="false"/>
              <w:spacing w:before="0" w:after="200"/>
              <w:ind w:hanging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cs="PT Astra Serif" w:ascii="Arial" w:hAnsi="Arial"/>
                <w:b/>
                <w:bCs/>
                <w:sz w:val="21"/>
                <w:szCs w:val="21"/>
                <w:lang w:val="ru-RU"/>
              </w:rPr>
              <w:t>-решение об отказе в проведении аукциона (форма приведена в Приложении 4 к настоящему Административному регламенту).</w:t>
            </w:r>
          </w:p>
        </w:tc>
      </w:tr>
      <w:tr>
        <w:trPr>
          <w:trHeight w:val="665" w:hRule="atLeast"/>
        </w:trPr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Срок предоставления услуги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11"/>
              <w:widowControl w:val="false"/>
              <w:shd w:val="clear" w:fill="FFFFFF"/>
              <w:spacing w:before="0" w:after="200"/>
              <w:ind w:hanging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cs="PT Astra Serif" w:ascii="Arial" w:hAnsi="Arial"/>
                <w:b/>
                <w:bCs/>
                <w:sz w:val="21"/>
                <w:szCs w:val="21"/>
                <w:lang w:eastAsia="ru-RU"/>
              </w:rPr>
              <w:t>Срок предоставления муниципальной услуги определяется в соответствии с Земельным кодексом Российской Федерации</w:t>
            </w:r>
          </w:p>
        </w:tc>
      </w:tr>
      <w:tr>
        <w:trPr/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  <w:tab w:val="left" w:pos="1418" w:leader="none"/>
                <w:tab w:val="left" w:pos="1701" w:leader="none"/>
              </w:tabs>
              <w:spacing w:before="0" w:after="200"/>
              <w:ind w:left="0" w:right="0" w:hanging="0"/>
              <w:jc w:val="both"/>
              <w:rPr>
                <w:rFonts w:ascii="Arial" w:hAnsi="Arial" w:cs="PT Astra Serif"/>
                <w:b/>
                <w:b/>
                <w:bCs/>
                <w:sz w:val="21"/>
                <w:szCs w:val="21"/>
              </w:rPr>
            </w:pPr>
            <w:r>
              <w:rPr>
                <w:rFonts w:cs="PT Astra Serif" w:ascii="Arial" w:hAnsi="Arial"/>
                <w:b/>
                <w:bCs/>
                <w:sz w:val="21"/>
                <w:szCs w:val="21"/>
              </w:rPr>
              <w:t>нет</w:t>
            </w:r>
          </w:p>
        </w:tc>
      </w:tr>
      <w:tr>
        <w:trPr/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Стоимость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="0" w:after="0"/>
              <w:ind w:left="0" w:right="0" w:hanging="0"/>
              <w:contextualSpacing/>
              <w:jc w:val="both"/>
              <w:rPr>
                <w:rFonts w:ascii="Arial" w:hAnsi="Arial" w:cs="PT Astra Serif"/>
                <w:b/>
                <w:b/>
                <w:bCs/>
                <w:sz w:val="21"/>
                <w:szCs w:val="21"/>
              </w:rPr>
            </w:pPr>
            <w:r>
              <w:rPr>
                <w:rFonts w:cs="PT Astra Serif" w:ascii="Arial" w:hAnsi="Arial"/>
                <w:b/>
                <w:bCs/>
                <w:sz w:val="21"/>
                <w:szCs w:val="21"/>
              </w:rPr>
              <w:t>Предоставление муниципальной услуги осуществляется бесплатно.</w:t>
            </w:r>
          </w:p>
          <w:p>
            <w:pPr>
              <w:pStyle w:val="Normal"/>
              <w:widowControl w:val="false"/>
              <w:spacing w:before="0" w:after="200"/>
              <w:jc w:val="both"/>
              <w:rPr>
                <w:rFonts w:ascii="Arial" w:hAnsi="Arial" w:cs="PT Astra Serif"/>
                <w:b/>
                <w:b/>
                <w:bCs/>
                <w:sz w:val="21"/>
                <w:szCs w:val="21"/>
              </w:rPr>
            </w:pPr>
            <w:r>
              <w:rPr>
                <w:rFonts w:cs="PT Astra Serif" w:ascii="Arial" w:hAnsi="Arial"/>
                <w:b/>
                <w:bCs/>
                <w:sz w:val="21"/>
                <w:szCs w:val="21"/>
              </w:rPr>
            </w:r>
          </w:p>
        </w:tc>
      </w:tr>
      <w:tr>
        <w:trPr/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нет</w:t>
            </w:r>
          </w:p>
        </w:tc>
      </w:tr>
      <w:tr>
        <w:trPr/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Административный регламент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before="0" w:after="0"/>
              <w:ind w:right="253" w:hanging="0"/>
              <w:jc w:val="left"/>
              <w:rPr>
                <w:rFonts w:ascii="Arial" w:hAnsi="Arial" w:eastAsia="Calibri"/>
                <w:b/>
                <w:b/>
                <w:bCs/>
                <w:kern w:val="0"/>
                <w:sz w:val="21"/>
                <w:szCs w:val="21"/>
                <w:lang w:val="ru-RU" w:bidi="ar-SA"/>
              </w:rPr>
            </w:pPr>
            <w:r>
              <w:rPr>
                <w:rFonts w:eastAsia="Calibri" w:ascii="Arial" w:hAnsi="Arial"/>
                <w:b/>
                <w:bCs/>
                <w:kern w:val="0"/>
                <w:sz w:val="21"/>
                <w:szCs w:val="21"/>
                <w:lang w:val="ru-RU" w:bidi="ar-SA"/>
              </w:rPr>
              <w:t>Постановление Администрации Шатровского муниципального округа Курганской области от 25   апреля   2022   года № 209 «Предоставление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торгах»</w:t>
            </w:r>
          </w:p>
        </w:tc>
      </w:tr>
      <w:tr>
        <w:trPr/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Контактные данные органа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Коновалов Евгений Альбертович 8/35257/9-22-72 Отдел экономического развития Администрации Шатровского муниципального округа.</w:t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200"/>
        <w:rPr>
          <w:rFonts w:ascii="Arial" w:hAnsi="Arial" w:cs="Arial"/>
        </w:rPr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Appleconvertedspace" w:customStyle="1">
    <w:name w:val="apple-converted-space"/>
    <w:basedOn w:val="DefaultParagraphFont"/>
    <w:qFormat/>
    <w:rsid w:val="001e7b89"/>
    <w:rPr/>
  </w:style>
  <w:style w:type="character" w:styleId="Style15">
    <w:name w:val="Интернет-ссылка"/>
    <w:rsid w:val="001e7b89"/>
    <w:rPr>
      <w:color w:val="0000FF"/>
      <w:u w:val="single"/>
    </w:rPr>
  </w:style>
  <w:style w:type="character" w:styleId="Blk" w:customStyle="1">
    <w:name w:val="blk"/>
    <w:basedOn w:val="DefaultParagraphFont"/>
    <w:qFormat/>
    <w:rsid w:val="001e7b89"/>
    <w:rPr/>
  </w:style>
  <w:style w:type="character" w:styleId="Style16" w:customStyle="1">
    <w:name w:val="Гипертекстовая ссылка"/>
    <w:qFormat/>
    <w:rsid w:val="00e74706"/>
    <w:rPr>
      <w:b/>
      <w:bCs/>
      <w:color w:val="106BBE"/>
    </w:rPr>
  </w:style>
  <w:style w:type="character" w:styleId="Style17" w:customStyle="1">
    <w:name w:val="Основной текст + Полужирный"/>
    <w:basedOn w:val="DefaultParagraphFont"/>
    <w:qFormat/>
    <w:rsid w:val="00f727d6"/>
    <w:rPr>
      <w:rFonts w:ascii="Arial" w:hAnsi="Arial" w:eastAsia="Arial" w:cs="Arial"/>
      <w:b/>
      <w:bCs/>
      <w:i/>
      <w:iCs/>
      <w:caps w:val="false"/>
      <w:smallCaps w:val="false"/>
      <w:strike w:val="false"/>
      <w:dstrike w:val="false"/>
      <w:color w:val="000000"/>
      <w:spacing w:val="1"/>
      <w:w w:val="100"/>
      <w:sz w:val="18"/>
      <w:szCs w:val="18"/>
      <w:u w:val="none"/>
      <w:effect w:val="none"/>
      <w:lang w:val="ru-RU"/>
    </w:rPr>
  </w:style>
  <w:style w:type="character" w:styleId="1" w:customStyle="1">
    <w:name w:val="Основной текст1"/>
    <w:basedOn w:val="DefaultParagraphFont"/>
    <w:qFormat/>
    <w:rsid w:val="00ff4511"/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2"/>
      <w:w w:val="100"/>
      <w:sz w:val="18"/>
      <w:szCs w:val="18"/>
      <w:u w:val="none"/>
      <w:effect w:val="none"/>
      <w:lang w:val="ru-RU"/>
    </w:rPr>
  </w:style>
  <w:style w:type="character" w:styleId="Style18" w:customStyle="1">
    <w:name w:val="Основной текст_"/>
    <w:basedOn w:val="DefaultParagraphFont"/>
    <w:link w:val="2"/>
    <w:qFormat/>
    <w:locked/>
    <w:rsid w:val="00835080"/>
    <w:rPr>
      <w:rFonts w:ascii="Arial" w:hAnsi="Arial" w:eastAsia="Arial" w:cs="Arial"/>
      <w:spacing w:val="2"/>
      <w:sz w:val="18"/>
      <w:szCs w:val="18"/>
      <w:shd w:fill="FFFFFF" w:val="clear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Mang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Western" w:customStyle="1">
    <w:name w:val="western"/>
    <w:basedOn w:val="Normal"/>
    <w:qFormat/>
    <w:rsid w:val="00c50922"/>
    <w:pPr>
      <w:spacing w:lineRule="auto" w:line="288" w:beforeAutospacing="1" w:after="142"/>
    </w:pPr>
    <w:rPr>
      <w:rFonts w:ascii="Calibri" w:hAnsi="Calibri" w:eastAsia="Times New Roman" w:cs="Times New Roman"/>
      <w:color w:val="00000A"/>
      <w:lang w:eastAsia="ru-RU"/>
    </w:rPr>
  </w:style>
  <w:style w:type="paragraph" w:styleId="NormalWeb">
    <w:name w:val="Normal (Web)"/>
    <w:basedOn w:val="Normal"/>
    <w:uiPriority w:val="99"/>
    <w:qFormat/>
    <w:rsid w:val="001e7b8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Normal" w:customStyle="1">
    <w:name w:val="ConsPlusNormal"/>
    <w:uiPriority w:val="99"/>
    <w:qFormat/>
    <w:rsid w:val="0070246e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Calibri" w:cs="Arial" w:eastAsiaTheme="minorHAnsi"/>
      <w:color w:val="auto"/>
      <w:kern w:val="0"/>
      <w:sz w:val="20"/>
      <w:szCs w:val="20"/>
      <w:lang w:val="ru-RU" w:eastAsia="en-US" w:bidi="ar-SA"/>
    </w:rPr>
  </w:style>
  <w:style w:type="paragraph" w:styleId="2" w:customStyle="1">
    <w:name w:val="Основной текст2"/>
    <w:basedOn w:val="Normal"/>
    <w:link w:val="aa"/>
    <w:qFormat/>
    <w:rsid w:val="00835080"/>
    <w:pPr>
      <w:widowControl w:val="false"/>
      <w:shd w:val="clear" w:color="auto" w:fill="FFFFFF"/>
      <w:spacing w:lineRule="exact" w:line="230" w:before="0" w:after="240"/>
    </w:pPr>
    <w:rPr>
      <w:rFonts w:ascii="Arial" w:hAnsi="Arial" w:eastAsia="Arial" w:cs="Arial"/>
      <w:spacing w:val="2"/>
      <w:sz w:val="18"/>
      <w:szCs w:val="18"/>
    </w:rPr>
  </w:style>
  <w:style w:type="paragraph" w:styleId="Style24">
    <w:name w:val="Абзац списка"/>
    <w:basedOn w:val="Normal"/>
    <w:qFormat/>
    <w:pPr>
      <w:widowControl w:val="false"/>
      <w:suppressAutoHyphens w:val="false"/>
      <w:ind w:left="137" w:firstLine="708"/>
      <w:jc w:val="both"/>
    </w:pPr>
    <w:rPr>
      <w:sz w:val="22"/>
      <w:szCs w:val="22"/>
      <w:lang w:val="en-US"/>
    </w:rPr>
  </w:style>
  <w:style w:type="paragraph" w:styleId="Style25">
    <w:name w:val="Содержимое таблицы"/>
    <w:basedOn w:val="Normal"/>
    <w:qFormat/>
    <w:pPr>
      <w:widowControl w:val="false"/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paragraph" w:styleId="11">
    <w:name w:val="Основной текст1"/>
    <w:basedOn w:val="Normal"/>
    <w:qFormat/>
    <w:pPr>
      <w:widowControl w:val="false"/>
      <w:shd w:val="clear" w:fill="FFFFFF"/>
      <w:ind w:firstLine="400"/>
    </w:pPr>
    <w:rPr>
      <w:sz w:val="28"/>
      <w:szCs w:val="2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Application>LibreOffice/7.0.4.2$Windows_X86_64 LibreOffice_project/dcf040e67528d9187c66b2379df5ea4407429775</Application>
  <AppVersion>15.0000</AppVersion>
  <Pages>3</Pages>
  <Words>340</Words>
  <Characters>2731</Characters>
  <CharactersWithSpaces>3043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2022-04-27T05:48:00Z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2024-11-13T10:35:57Z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