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b/>
                <w:b/>
                <w:bCs/>
              </w:rPr>
            </w:pPr>
            <w:r>
              <w:rPr>
                <w:rFonts w:cs="PT Astra Serif" w:ascii="PT Astra Serif" w:hAnsi="PT Astra Serif"/>
                <w:b/>
                <w:bCs/>
                <w:sz w:val="28"/>
                <w:szCs w:val="28"/>
              </w:rPr>
              <w:t xml:space="preserve">«Передача в собственность граждан занимаемых ими жилых помещений </w:t>
            </w:r>
            <w:r>
              <w:rPr>
                <w:rFonts w:cs="PT Astra Serif" w:ascii="PT Astra Serif" w:hAnsi="PT Astra Serif"/>
                <w:b/>
                <w:bCs/>
                <w:sz w:val="28"/>
                <w:szCs w:val="28"/>
                <w:shd w:fill="auto" w:val="clear"/>
              </w:rPr>
              <w:t>жилищного</w:t>
            </w:r>
            <w:r>
              <w:rPr>
                <w:rFonts w:cs="PT Astra Serif" w:ascii="PT Astra Serif" w:hAnsi="PT Astra Serif"/>
                <w:b/>
                <w:bCs/>
                <w:sz w:val="28"/>
                <w:szCs w:val="28"/>
              </w:rPr>
              <w:t xml:space="preserve"> фонда (приватизация </w:t>
            </w:r>
            <w:r>
              <w:rPr>
                <w:rFonts w:cs="PT Astra Serif" w:ascii="PT Astra Serif" w:hAnsi="PT Astra Serif"/>
                <w:b/>
                <w:bCs/>
                <w:sz w:val="28"/>
                <w:szCs w:val="28"/>
                <w:shd w:fill="auto" w:val="clear"/>
              </w:rPr>
              <w:t>жилищного</w:t>
            </w:r>
            <w:r>
              <w:rPr>
                <w:rFonts w:cs="PT Astra Serif" w:ascii="PT Astra Serif" w:hAnsi="PT Astra Serif"/>
                <w:b/>
                <w:bCs/>
                <w:sz w:val="28"/>
                <w:szCs w:val="28"/>
              </w:rPr>
              <w:t xml:space="preserve"> фонда)»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1"/>
                <w:szCs w:val="21"/>
                <w:shd w:fill="auto" w:val="clear"/>
              </w:rPr>
            </w:pPr>
            <w:r>
              <w:rPr>
                <w:rFonts w:ascii="Arial" w:hAnsi="Arial"/>
                <w:sz w:val="21"/>
                <w:szCs w:val="21"/>
                <w:shd w:fill="auto" w:val="clear"/>
              </w:rPr>
              <w:t>Администрация Шатровского муниципального округа Курганской области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1"/>
                <w:szCs w:val="21"/>
                <w:shd w:fill="auto" w:val="clear"/>
              </w:rPr>
            </w:pPr>
            <w:r>
              <w:rPr>
                <w:rFonts w:ascii="Arial" w:hAnsi="Arial"/>
                <w:sz w:val="21"/>
                <w:szCs w:val="21"/>
                <w:shd w:fill="auto" w:val="clear"/>
              </w:rPr>
              <w:t>Муниципальная услуга предоставляется Уполномоченным органом в лице сектора имущественных и земельных отношений отдела экономического развития Администрации Шатровского муниципального округа.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rStyle w:val="1"/>
                <w:rFonts w:ascii="Arial" w:hAnsi="Arial"/>
                <w:sz w:val="21"/>
                <w:szCs w:val="21"/>
                <w:shd w:fill="auto" w:val="clear"/>
              </w:rPr>
              <w:t>-Граждане Российской Федерации, имеющие право пользования жилыми помещениями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 (далее – Заявитель).</w:t>
            </w:r>
          </w:p>
          <w:p>
            <w:pPr>
              <w:pStyle w:val="Style20"/>
              <w:widowControl w:val="false"/>
              <w:spacing w:lineRule="auto" w:line="276" w:before="0" w:after="140"/>
              <w:rPr/>
            </w:pPr>
            <w:r>
              <w:rPr>
                <w:rStyle w:val="1"/>
                <w:rFonts w:ascii="Arial" w:hAnsi="Arial"/>
                <w:sz w:val="21"/>
                <w:szCs w:val="21"/>
                <w:shd w:fill="auto" w:val="clear"/>
              </w:rPr>
              <w:t>-Интересы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– представитель).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заявление о предоставлении муниципальной услуги по форме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основной документ, удостоверяющий личность заявителя, представителя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документ, подтверждающий полномочия представителя действовать от имени заявителя (подписан нотариусом)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вступившее в законную силу решение суда о признании гражданина недееспособным/ограниченно дееспособным (копия, заверенная судом, принявшим решение)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согласие органа, уполномоченного в сфере опеки и попечительства, на передачу в порядке приватизации жилого помещения в собственность недееспособного/ограниченно дееспособного гражданина, а также в собственность детей, оставшихся без попечения родителей, детей, помещенных под надзор в организации для детей-сирот и детей, оставшихся без попечения родителей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сведения о лицах, зарегистрированных по месту пребывания или по месту жительства, а также состоящих на миграционном учете совместно по одному адресу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выписка из личного дела (справка) с указанием периода прохождения службы, состава семьи и отражения регистрации при воинской части по периодам службы (для офицеров, в том числе уволенных в запас, и членов их семей; граждан, проходящих (проходивших) военную службу по контракту, и членов их семей; граждан, которым предоставлено (было предоставлено) в пользование служебное жилое помещение при воинской части на период трудового договора (контракта), и членов их семей)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(в случае прохождения службы);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справка об освобождении гражданина, участвующего в приватизации, и ее копия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вступившее в законную силу решение суда (о наличии или лишении (отсутствии) жилищных или имущественных прав на жилое помещение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найма) (копия, заверенная судом, принявшим решение)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вступивший в законную силу приговор суда (копия, заверенная судом, принявшим решение), а также документ, подтверждающий отбывание наказания гражданами, осужденными к лишению свободы или к принудительным работам (в соответствии с постановлением Конституционного Суда Российской Федерации от 23 июня 1995 года № 8-П)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письменное согласие на приватизацию занимаемого жилого помещения заявителя, члена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порядке, или письменный отказ от приватизации занимаемого жилого помещения члена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порядке.</w:t>
            </w:r>
          </w:p>
          <w:p>
            <w:pPr>
              <w:pStyle w:val="Style20"/>
              <w:widowControl w:val="false"/>
              <w:rPr/>
            </w:pPr>
            <w:r>
              <w:rPr/>
              <w:t xml:space="preserve">- </w:t>
            </w:r>
            <w:r>
              <w:rPr>
                <w:rFonts w:cs="PT Astra Serif" w:ascii="Arial" w:hAnsi="Arial"/>
                <w:bCs/>
                <w:sz w:val="21"/>
                <w:szCs w:val="21"/>
              </w:rPr>
              <w:t>Письменный отказ от участия в приватизации.</w:t>
            </w:r>
          </w:p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ордер или выписка из распоряжения органа исполнительной власти о предоставлении жилого помещения по договору социального найма;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свидетельство о рождении для членов семьи заявителя, лиц, зарегистрированных в приватизируемом жилом помещении, не достигших 14-летнего возраста (за исключением свидетельств о рождении детей-сирот, а также случаев, когда свидетельство о рождении было получено не в городе Москве);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документы, содержащие сведения о гражданстве лиц, не достигших 14-летнего возраста;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выписка из домовой книги с полной информацией о гражданах, зарегистрированных по месту жительства в данном жилом помещении в настоящее время, а также зарегистрированных ранее и выбывших за период с момента выдачи ордера;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копия финансового лицевого счета при приватизации комнат в коммунальной квартире или отдельных квартир в случае утери ордера;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документы, подтверждающие использованное (неиспользованное) право на приватизацию жилого помещения;</w:t>
            </w:r>
          </w:p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документ уполномоченного органа, подтверждающий неиспользованное право на участие в приватизации по прежнему месту жительства,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найма;</w:t>
            </w:r>
          </w:p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документ, подтверждающий полномочия органа, указанного в подпункте 7 пункта 23 настоящего Административного регламента, по выдаче документа, подтверждающего неиспользованное право на участие в приватизации по прежнему месту жительства (копия, заверенная органом, его выдавшим).</w:t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1)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документа, подписанного усиленной электронной подписью;</w:t>
            </w:r>
          </w:p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2) решение об отказе в предоставлении муниципальной услуги.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Не более 35 рабочих дней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нет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Предоставление муниципальной услуги осуществляется бесплатно.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нет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Постановление Администрации Шатровского муниципального округа Курганской области от 25 октября 2022 года №590 «Об утверждении Административного регламента предоставления Администрацией Шатровского муниципального округа Курганской области муниципальной услуги «Передача в собственность граждан занимаемых ими жилых помещений жилищного фонда (приватизация жилищного фонда)»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1"/>
                <w:szCs w:val="21"/>
                <w:shd w:fill="auto" w:val="clear"/>
              </w:rPr>
            </w:pPr>
            <w:r>
              <w:rPr>
                <w:rFonts w:eastAsia="Calibri" w:cs="" w:ascii="Arial" w:hAnsi="Arial"/>
                <w:color w:val="000000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 xml:space="preserve">Байкалов Александр Федорович </w:t>
            </w:r>
            <w:r>
              <w:rPr>
                <w:rFonts w:ascii="Arial" w:hAnsi="Arial"/>
                <w:sz w:val="21"/>
                <w:szCs w:val="21"/>
                <w:shd w:fill="auto" w:val="clear"/>
              </w:rPr>
              <w:t xml:space="preserve"> 8/35257/9-22-72 Отдел экономического развития Администрации Шатровского муниципального округа.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4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Application>LibreOffice/7.0.4.2$Windows_X86_64 LibreOffice_project/dcf040e67528d9187c66b2379df5ea4407429775</Application>
  <AppVersion>15.0000</AppVersion>
  <Pages>4</Pages>
  <Words>818</Words>
  <Characters>5940</Characters>
  <CharactersWithSpaces>6715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2023-11-24T14:22:36Z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