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Признание садового дома жилым домом и жилого дома садовым домом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</w:rPr>
            </w:pPr>
            <w:r>
              <w:rPr>
                <w:rFonts w:cs="Liberation Serif" w:ascii="Arial" w:hAnsi="Arial"/>
                <w:bCs/>
              </w:rPr>
              <w:t>Признания садового дома жилым домом: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удостоверяющий личность заявителя, представителя заявителя;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 xml:space="preserve">- </w:t>
            </w:r>
            <w:r>
              <w:rPr>
                <w:rFonts w:cs="Liberation Serif" w:ascii="Arial" w:hAnsi="Arial"/>
                <w:bCs/>
              </w:rPr>
      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>-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eastAsia="ar-SA"/>
              </w:rPr>
              <w:t>-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eastAsia="ar-SA"/>
              </w:rPr>
              <w:t>Признания садового дома жилым домом»: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удостоверяющий личность заявителя, представителя заявителя;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>-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143"/>
              <w:ind w:left="0" w:right="0" w:hanging="0"/>
              <w:jc w:val="both"/>
              <w:rPr>
                <w:rFonts w:ascii="Arial" w:hAnsi="Arial" w:cs="Liberation Serif;Times New Roman"/>
                <w:bCs/>
                <w:sz w:val="24"/>
                <w:szCs w:val="24"/>
              </w:rPr>
            </w:pPr>
            <w:r>
              <w:rPr>
                <w:rFonts w:cs="Liberation Serif;Times New Roman" w:ascii="Arial" w:hAnsi="Arial"/>
                <w:bCs/>
                <w:sz w:val="24"/>
                <w:szCs w:val="24"/>
              </w:rPr>
              <w:t>- решение уполномоченного органа о признании садового дома жилым домом или жилого дома садовым домом;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;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;Times New Roman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решения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25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сентября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601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«Признание садового дома жилым домом и жилого дома садовым домом»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LibreOffice/7.0.4.2$Windows_X86_64 LibreOffice_project/dcf040e67528d9187c66b2379df5ea4407429775</Application>
  <AppVersion>15.0000</AppVersion>
  <Pages>2</Pages>
  <Words>314</Words>
  <Characters>2223</Characters>
  <CharactersWithSpaces>2506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2024-12-17T11:33:10Z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