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firstLine="709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" w:ascii="PT Astra Serif" w:hAnsi="PT Astra Serif"/>
                <w:b/>
                <w:bCs/>
                <w:iCs/>
                <w:sz w:val="26"/>
                <w:szCs w:val="26"/>
              </w:rPr>
              <w:t xml:space="preserve">«Выдача несовершеннолетним лицам, достигшим 16 лет, разрешения на вступление в брак до достижения брачного возраста»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26"/>
                <w:szCs w:val="26"/>
                <w:lang w:eastAsia="en-US"/>
              </w:rPr>
              <w:t>Отдел образования Администрации Шатровского муниципального округа Курганской области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Style26"/>
              <w:widowControl w:val="false"/>
              <w:tabs>
                <w:tab w:val="clear" w:pos="720"/>
                <w:tab w:val="left" w:pos="709" w:leader="none"/>
              </w:tabs>
              <w:autoSpaceDE w:val="false"/>
              <w:spacing w:lineRule="auto" w:line="240" w:before="0" w:after="0"/>
              <w:ind w:left="47" w:right="-8" w:hanging="0"/>
              <w:contextualSpacing/>
              <w:jc w:val="both"/>
              <w:rPr>
                <w:rFonts w:ascii="Arial" w:hAnsi="Arial" w:cs="PT Astra Serif"/>
                <w:color w:val="000000"/>
                <w:sz w:val="26"/>
                <w:szCs w:val="26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6"/>
                <w:szCs w:val="24"/>
                <w:lang w:val="ru-RU"/>
              </w:rPr>
              <w:t>Заявителями на предоставление муниципальной услуги являются несовершеннолетние граждане в возрасте от 16 до 18 лет, зарегистрированные по месту жительства на территории Шатровского муниципального округа Курганской области, имеющие в соответствии с п.2 ст. 13 Семейного кодекса Российской Федерации основания на вступление в брак до достижения брачного возраста, либо их уполномоченные представители (далее - заявители)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</w:tabs>
              <w:autoSpaceDE w:val="false"/>
              <w:spacing w:lineRule="auto" w:line="240" w:before="0" w:after="0"/>
              <w:ind w:left="767" w:right="-8" w:hanging="0"/>
              <w:contextualSpacing/>
              <w:jc w:val="both"/>
              <w:rPr>
                <w:rFonts w:ascii="PT Astra Serif" w:hAnsi="PT Astra Serif" w:cs="PT Astra Serif"/>
                <w:sz w:val="26"/>
                <w:szCs w:val="24"/>
              </w:rPr>
            </w:pPr>
            <w:r>
              <w:rPr>
                <w:rFonts w:cs="PT Astra Serif" w:ascii="PT Astra Serif" w:hAnsi="PT Astra Serif"/>
                <w:sz w:val="26"/>
                <w:szCs w:val="24"/>
              </w:rPr>
              <w:t>Заявителями на предоставление муниципальной услуги являются несовершеннолетние граждане в возрасте от 16 до 18 лет, зарегистрированные по месту жительства на территории Шатровского муниципального округа Курганской области, имеющие в соответствии с п.2 ст. 13 Семейного кодекса Российской Федерации основания на вступление в брак до достижения брачного возраста, либо их уполномоченные представители (далее - заявители)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spacing w:before="0" w:after="20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overflowPunct w:val="false"/>
              <w:spacing w:lineRule="auto" w:line="240" w:before="0" w:after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</w:rPr>
              <w:t>заявление о разрешении на вступление в брак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overflowPunct w:val="false"/>
              <w:spacing w:lineRule="auto" w:line="240" w:before="0" w:after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</w:rPr>
              <w:t>документ, удостоверяющий личность заявителя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overflowPunct w:val="false"/>
              <w:spacing w:lineRule="auto" w:line="240" w:before="0" w:after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</w:rPr>
              <w:t>документ, удостоверяющий личность представителя заявителя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overflowPunct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</w:rPr>
              <w:t xml:space="preserve">документ, подтверждающий наличие уважительных причин для получения разрешения на вступление в брак 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</w:rPr>
              <w:t>( справка медицинского учреждения или врача, занимающегося частной медицинской практикой, о наличии беременности,  копия свидетельства о рождении ребенка у лиц, желающих вступить в брак (с предъявлением его оригинала) в случае рождения ребенка, копия свидетельства об установлении отцовства (с предъявлением его оригинала, документ, подтверждающий непосредственную угрозу жизни одной из сторон)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43" w:leader="none"/>
              </w:tabs>
              <w:overflowPunct w:val="false"/>
              <w:spacing w:lineRule="auto" w:line="240" w:before="0" w:after="0"/>
              <w:ind w:right="2" w:hanging="0"/>
              <w:jc w:val="both"/>
              <w:rPr>
                <w:rFonts w:eastAsia="Times New Roman" w:cs="PT Astra Serif;Times New Roman"/>
              </w:rPr>
            </w:pPr>
            <w:r>
              <w:rPr>
                <w:rFonts w:eastAsia="Times New Roman" w:cs="PT Astra Serif;Times New Roman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60" w:leader="none"/>
              </w:tabs>
              <w:overflowPunct w:val="false"/>
              <w:spacing w:lineRule="auto" w:line="240" w:before="0" w:after="0"/>
              <w:ind w:right="2" w:hanging="0"/>
              <w:jc w:val="both"/>
              <w:rPr>
                <w:rFonts w:ascii="Arial" w:hAnsi="Arial" w:cs="PT Astra Serif"/>
                <w:sz w:val="26"/>
                <w:szCs w:val="26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false"/>
              <w:spacing w:lineRule="auto" w:line="240" w:before="0" w:after="0"/>
              <w:jc w:val="both"/>
              <w:outlineLvl w:val="2"/>
              <w:rPr>
                <w:rFonts w:ascii="PT Astra Serif" w:hAnsi="PT Astra Serif" w:eastAsia="Calibri" w:cs="PT Astra Serif"/>
                <w:sz w:val="26"/>
                <w:szCs w:val="26"/>
                <w:lang w:eastAsia="en-US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  <w:lang w:eastAsia="en-US"/>
              </w:rPr>
              <w:t>предоставление разрешения на вступление в брак несовершеннолетним лицам, достигшим возраста шестнадцати лет, оформленное в виде постановления Администрации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fals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  <w:lang w:eastAsia="en-US"/>
              </w:rPr>
              <w:t>официальный мотивированный отказ заявителю в предоставлении муниципальной услуги в виде постановления Администрации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2"/>
              <w:widowControl w:val="false"/>
              <w:tabs>
                <w:tab w:val="clear" w:pos="720"/>
                <w:tab w:val="left" w:pos="851" w:leader="none"/>
                <w:tab w:val="left" w:pos="1022" w:leader="none"/>
              </w:tabs>
              <w:kinsoku w:val="false"/>
              <w:overflowPunct w:val="false"/>
              <w:spacing w:lineRule="auto" w:line="240" w:before="0" w:after="0"/>
              <w:ind w:left="0" w:right="-8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eastAsia="Calibri" w:cs="PT Astra Serif" w:ascii="PT Astra Serif" w:hAnsi="PT Astra Serif"/>
                <w:b w:val="false"/>
                <w:bCs w:val="false"/>
                <w:sz w:val="26"/>
                <w:szCs w:val="26"/>
                <w:lang w:eastAsia="en-US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false"/>
              <w:spacing w:lineRule="auto" w:line="240" w:before="0" w:after="0"/>
              <w:ind w:left="0" w:right="2" w:hanging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PT Astra Serif;Times New Roman" w:cs="PT Astra Serif;Times New Roman" w:ascii="Arial" w:hAnsi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eastAsia="PT Astra Serif;Times New Roman" w:cs="PT Astra Serif" w:ascii="PT Astra Serif" w:hAnsi="PT Astra Serif"/>
                <w:b w:val="false"/>
                <w:bCs w:val="false"/>
                <w:sz w:val="24"/>
                <w:szCs w:val="24"/>
              </w:rPr>
              <w:t>За предоставление Услуги не предусмотрено взимание платы.</w:t>
            </w:r>
            <w:r>
              <w:rPr>
                <w:rFonts w:eastAsia="PT Astra Serif;Times New Roman" w:cs="PT Astra Serif" w:ascii="PT Astra Serif" w:hAnsi="PT Astra Serif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 w:val="false"/>
                <w:bCs w:val="false"/>
                <w:color w:val="403152" w:themeColor="accent4" w:themeShade="80"/>
                <w:kern w:val="0"/>
                <w:sz w:val="26"/>
                <w:szCs w:val="26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П</w:t>
            </w:r>
            <w:r>
              <w:rPr>
                <w:rFonts w:eastAsia="Calibri" w:cs="PT Astra Serif;Times New Roman" w:ascii="Arial" w:hAnsi="Arial"/>
                <w:b/>
                <w:bCs w:val="false"/>
                <w:sz w:val="26"/>
                <w:szCs w:val="26"/>
                <w:lang w:val="ru-RU"/>
              </w:rPr>
              <w:t xml:space="preserve">остановление Администрации Шатровского муниципального округа Курганской области № 293 от 4 мая 2023 года </w:t>
            </w:r>
            <w:r>
              <w:rPr>
                <w:rFonts w:eastAsia="Calibri" w:cs="PT Astra Serif" w:ascii="PT Astra Serif" w:hAnsi="PT Astra Serif"/>
                <w:b/>
                <w:bCs/>
                <w:iCs/>
                <w:sz w:val="26"/>
                <w:szCs w:val="26"/>
                <w:lang w:val="ru-RU"/>
              </w:rPr>
              <w:t>Об утверждении Административного регламента предоставления муниципальной услуги «Выдача несовершеннолетним лицам, достигшим 16 лет, разрешения на вступление в брак до достижения брачного возраста»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right="-284" w:hanging="0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 xml:space="preserve">В.А. Сивяков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Times New Roman CYR"/>
                <w:sz w:val="26"/>
                <w:szCs w:val="26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 xml:space="preserve">8/35257/ 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9 16 55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character" w:styleId="Markedcontent">
    <w:name w:val="markedcontent"/>
    <w:qFormat/>
    <w:rPr/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Application>LibreOffice/7.0.4.2$Windows_X86_64 LibreOffice_project/dcf040e67528d9187c66b2379df5ea4407429775</Application>
  <AppVersion>15.0000</AppVersion>
  <Pages>2</Pages>
  <Words>340</Words>
  <Characters>2474</Characters>
  <CharactersWithSpaces>2776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2024-12-16T11:25:51Z</dcterms:modified>
  <cp:revision>183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