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28"/>
                <w:szCs w:val="28"/>
              </w:rPr>
            </w:pPr>
            <w:r>
              <w:rPr>
                <w:rFonts w:eastAsia="ArialMT" w:cs="Liberation Serif" w:ascii="Arial" w:hAnsi="Arial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FFFFFF" w:val="clear"/>
                <w:lang w:val="ru-RU"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Администрация Шадринского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ru-RU" w:eastAsia="ru-RU"/>
              </w:rPr>
              <w:t>Физические или юридические лица.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отдел архитектуры Управления жилищно-коммунального хозяйства и строительства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5"/>
              <w:widowControl w:val="false"/>
              <w:suppressAutoHyphens w:val="true"/>
              <w:spacing w:before="0" w:after="20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Times New Roman"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ru-RU" w:eastAsia="ru-RU"/>
              </w:rPr>
              <w:t xml:space="preserve">Физические лица </w:t>
            </w: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ru-RU" w:eastAsia="ru-RU"/>
              </w:rPr>
              <w:t>и юридические лица.</w:t>
            </w:r>
          </w:p>
          <w:p>
            <w:pPr>
              <w:pStyle w:val="Style25"/>
              <w:widowControl w:val="false"/>
              <w:suppressAutoHyphens w:val="true"/>
              <w:spacing w:before="0" w:after="20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ru-RU" w:eastAsia="ru-RU"/>
              </w:rPr>
              <w:t>Заявитель может обратиться за муниципальной услугой через доверенное лицо.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11"/>
              <w:widowControl w:val="false"/>
              <w:suppressAutoHyphens w:val="false"/>
              <w:overflowPunct w:val="true"/>
              <w:spacing w:lineRule="auto" w:line="240" w:before="0" w:after="200"/>
              <w:ind w:left="0" w:right="0" w:hanging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Исчерпывающий перечень документов, необходимых для предоставления услуги, подлежащих представлению заявителем самостоятельно:</w:t>
            </w:r>
          </w:p>
          <w:p>
            <w:pPr>
              <w:pStyle w:val="Style111"/>
              <w:widowControl w:val="false"/>
              <w:suppressAutoHyphens w:val="false"/>
              <w:overflowPunct w:val="true"/>
              <w:spacing w:lineRule="auto" w:line="240" w:before="0" w:after="200"/>
              <w:ind w:left="0" w:right="0" w:hanging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1) Уведомление о планируемом строительстве, уведомление об изменении параметров;</w:t>
            </w:r>
          </w:p>
          <w:p>
            <w:pPr>
              <w:pStyle w:val="Style111"/>
              <w:widowControl w:val="false"/>
              <w:suppressAutoHyphens w:val="false"/>
              <w:overflowPunct w:val="true"/>
              <w:spacing w:lineRule="auto" w:line="240" w:before="0" w:after="200"/>
              <w:ind w:left="0" w:right="0" w:hanging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2) Документ, удостоверяющий личность заявителя или представителя заявителя;</w:t>
            </w:r>
          </w:p>
          <w:p>
            <w:pPr>
              <w:pStyle w:val="Style111"/>
              <w:widowControl w:val="false"/>
              <w:suppressAutoHyphens w:val="false"/>
              <w:overflowPunct w:val="true"/>
              <w:spacing w:lineRule="auto" w:line="240" w:before="0" w:after="200"/>
              <w:ind w:left="0" w:right="0" w:hanging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      </w:r>
          </w:p>
          <w:p>
            <w:pPr>
              <w:pStyle w:val="Style111"/>
              <w:widowControl w:val="false"/>
              <w:suppressAutoHyphens w:val="false"/>
              <w:overflowPunct w:val="true"/>
              <w:spacing w:lineRule="auto" w:line="240" w:before="0" w:after="200"/>
              <w:ind w:left="0" w:right="0" w:hanging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4)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>
            <w:pPr>
              <w:pStyle w:val="Style111"/>
              <w:widowControl w:val="false"/>
              <w:suppressAutoHyphens w:val="false"/>
              <w:overflowPunct w:val="true"/>
              <w:spacing w:lineRule="auto" w:line="240" w:before="0" w:after="200"/>
              <w:ind w:left="0" w:right="0" w:hanging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>
            <w:pPr>
              <w:pStyle w:val="Style111"/>
              <w:widowControl w:val="false"/>
              <w:suppressAutoHyphens w:val="false"/>
              <w:overflowPunct w:val="true"/>
              <w:spacing w:lineRule="auto" w:line="240" w:before="0" w:after="200"/>
              <w:ind w:left="0" w:right="0" w:hanging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6)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 Российской Федерации.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Style18"/>
                <w:rFonts w:cs="Times New Roman" w:ascii="Arial" w:hAnsi="Arial"/>
                <w:color w:val="000000"/>
                <w:sz w:val="28"/>
                <w:szCs w:val="28"/>
              </w:rPr>
              <w:t>1) Выписка из ЕГРЮЛ (в случае подачи заявления юридическим лицом);</w:t>
            </w:r>
          </w:p>
          <w:p>
            <w:pPr>
              <w:pStyle w:val="Normal"/>
              <w:widowControl w:val="false"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Style18"/>
                <w:rFonts w:cs="Times New Roman" w:ascii="Arial" w:hAnsi="Arial"/>
                <w:color w:val="000000"/>
                <w:sz w:val="28"/>
                <w:szCs w:val="28"/>
              </w:rPr>
              <w:t>2) Выписка из ЕГРИП  (в случае подачи заявления индивидуальным предпринимателем);</w:t>
            </w:r>
          </w:p>
          <w:p>
            <w:pPr>
              <w:pStyle w:val="Normal"/>
              <w:widowControl w:val="false"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Style18"/>
                <w:rFonts w:cs="Times New Roman" w:ascii="Arial" w:hAnsi="Arial"/>
                <w:color w:val="000000"/>
                <w:sz w:val="28"/>
                <w:szCs w:val="28"/>
              </w:rPr>
              <w:t>3) Выписка из ЕГРН об основных характеристиках и зарегистрированных правах на объект недвижимости;</w:t>
            </w:r>
          </w:p>
          <w:p>
            <w:pPr>
              <w:pStyle w:val="Normal"/>
              <w:widowControl w:val="false"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4) Уведомление органа исполнительной власти субъекта Российской Федерации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строительства.</w:t>
            </w:r>
          </w:p>
        </w:tc>
      </w:tr>
      <w:tr>
        <w:trPr>
          <w:trHeight w:val="10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Lucida Sans Unicode" w:cs="Liberation Serif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kern w:val="2"/>
                <w:sz w:val="28"/>
                <w:szCs w:val="28"/>
                <w:lang w:eastAsia="ru-RU"/>
              </w:rPr>
              <w:t>1)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      </w:r>
          </w:p>
          <w:p>
            <w:pPr>
              <w:pStyle w:val="ConsPlusNormal"/>
              <w:widowControl w:val="false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Lucida Sans Unicode" w:cs="Liberation Serif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kern w:val="2"/>
                <w:sz w:val="28"/>
                <w:szCs w:val="28"/>
                <w:lang w:eastAsia="ru-RU"/>
              </w:rPr>
              <w:t>2) Уведомление о несоответствии.</w:t>
            </w:r>
          </w:p>
        </w:tc>
      </w:tr>
      <w:tr>
        <w:trPr>
          <w:trHeight w:val="760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rFonts w:eastAsia="Times New Roman" w:cs="Arial;sans-serif" w:ascii="Arial" w:hAnsi="Arial"/>
                <w:b w:val="false"/>
                <w:bCs w:val="false"/>
                <w:color w:val="000000"/>
                <w:position w:val="-3"/>
                <w:sz w:val="28"/>
                <w:szCs w:val="28"/>
                <w:lang w:val="ru-RU" w:eastAsia="ru-RU"/>
              </w:rPr>
              <w:t>1) Не более семи рабочих дней со дня поступления уведомления о планируемом строительстве, уведомления об изменении параметров в Отдел архитектуры, за исключением случая, предусмотренного частью 8 статьи 51.1 Градостроительного кодекса Российской Федерации;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rFonts w:eastAsia="Times New Roman" w:cs="Arial;sans-serif" w:ascii="Arial" w:hAnsi="Arial"/>
                <w:b w:val="false"/>
                <w:bCs w:val="false"/>
                <w:color w:val="000000"/>
                <w:position w:val="-3"/>
                <w:sz w:val="28"/>
                <w:szCs w:val="28"/>
                <w:lang w:val="ru-RU" w:eastAsia="ru-RU"/>
              </w:rPr>
              <w:t>2) Не более двадцати рабочих дней со дня поступления уведомления о планируемом строительстве, уведомления об изменении параметров в Отдел архитектуры, в случае, предусмотренном частью 8 статьи 51.1 Градостроительного кодекса Российской Федерации.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 w:val="false"/>
              <w:tabs>
                <w:tab w:val="clear" w:pos="708"/>
                <w:tab w:val="left" w:pos="2736" w:leader="none"/>
                <w:tab w:val="left" w:pos="3845" w:leader="none"/>
              </w:tabs>
              <w:suppressAutoHyphens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position w:val="-3"/>
                <w:sz w:val="28"/>
                <w:szCs w:val="28"/>
                <w:lang w:val="ru-RU"/>
              </w:rPr>
              <w:t>Предоставление услуги осуществляется без взимания платы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color w:val="000000"/>
                <w:sz w:val="28"/>
                <w:szCs w:val="28"/>
                <w:lang w:eastAsia="ru-RU"/>
              </w:rPr>
              <w:t>Срок хранения в МФЦ — 30 календарных дней, с последующей передачей в Орган.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Title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0"/>
                <w:rFonts w:eastAsia="ArialMT" w:cs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u w:val="none"/>
                <w:lang w:eastAsia="ru-RU"/>
              </w:rPr>
              <w:t>Постановление Администрации Шадринского муниципального округа Курганской области от 28 декабря 2022 года № 771 Об  утверждении  Административного 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character" w:styleId="Style17">
    <w:name w:val="Символ нумерации"/>
    <w:qFormat/>
    <w:rPr/>
  </w:style>
  <w:style w:type="character" w:styleId="Style18">
    <w:name w:val="Основной шрифт абзаца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4">
    <w:name w:val="Style2"/>
    <w:basedOn w:val="Normal"/>
    <w:qFormat/>
    <w:pPr>
      <w:suppressAutoHyphens w:val="false"/>
      <w:spacing w:lineRule="exact" w:line="233"/>
      <w:jc w:val="center"/>
    </w:pPr>
    <w:rPr/>
  </w:style>
  <w:style w:type="paragraph" w:styleId="ConsTitle">
    <w:name w:val="ConsTitle"/>
    <w:qFormat/>
    <w:pPr>
      <w:widowControl w:val="false"/>
      <w:suppressAutoHyphens w:val="true"/>
      <w:bidi w:val="0"/>
      <w:spacing w:lineRule="auto" w:line="240"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Style25">
    <w:name w:val="Содержимое таблицы"/>
    <w:basedOn w:val="Normal"/>
    <w:qFormat/>
    <w:pPr/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121">
    <w:name w:val="Style12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Style111">
    <w:name w:val="Style11"/>
    <w:basedOn w:val="Normal"/>
    <w:qFormat/>
    <w:pPr>
      <w:spacing w:lineRule="exact" w:line="166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LibreOffice/7.3.7.2$Windows_X86_64 LibreOffice_project/e114eadc50a9ff8d8c8a0567d6da8f454beeb84f</Application>
  <AppVersion>15.0000</AppVersion>
  <Pages>3</Pages>
  <Words>514</Words>
  <Characters>4074</Characters>
  <CharactersWithSpaces>4553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2024-11-02T08:27:38Z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