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74"/>
        <w:gridCol w:w="12488"/>
      </w:tblGrid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>
                <w:sz w:val="28"/>
                <w:szCs w:val="28"/>
              </w:rPr>
            </w:pPr>
            <w:r>
              <w:rPr>
                <w:rFonts w:eastAsia="ArialMT" w:cs="Liberation Serif" w:ascii="Arial" w:hAnsi="Arial"/>
                <w:b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shd w:fill="FFFFFF" w:val="clear"/>
                <w:lang w:val="ru-RU" w:eastAsia="ru-RU"/>
              </w:rPr>
              <w:t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 w:cs="Arial" w:ascii="Arial" w:hAnsi="Arial"/>
                <w:color w:val="000000"/>
                <w:sz w:val="28"/>
                <w:szCs w:val="28"/>
                <w:lang w:eastAsia="ru-RU"/>
              </w:rPr>
              <w:t>Администрация Шадринского муниципального округа Курганской области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Textbody"/>
              <w:widowControl w:val="false"/>
              <w:suppressAutoHyphens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ru-RU" w:eastAsia="ru-RU"/>
              </w:rPr>
              <w:t>Физические или юридические лица.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color w:val="000000"/>
                <w:sz w:val="28"/>
                <w:szCs w:val="28"/>
                <w:lang w:eastAsia="ru-RU"/>
              </w:rPr>
              <w:t>отдел архитектуры Управления жилищно-коммунального хозяйства и строительства Администрации Шадринского муниципального округа Курганской области</w:t>
            </w:r>
          </w:p>
        </w:tc>
      </w:tr>
      <w:tr>
        <w:trPr>
          <w:trHeight w:val="997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5"/>
              <w:widowControl w:val="false"/>
              <w:suppressAutoHyphens w:val="true"/>
              <w:spacing w:before="0" w:after="20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Fonts w:eastAsia="Times New Roman" w:cs="Liberation Serif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ru-RU" w:eastAsia="ru-RU"/>
              </w:rPr>
              <w:t xml:space="preserve">Физические лица </w:t>
            </w: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ru-RU" w:eastAsia="ru-RU"/>
              </w:rPr>
              <w:t>и юридические лица.</w:t>
            </w:r>
          </w:p>
          <w:p>
            <w:pPr>
              <w:pStyle w:val="Style25"/>
              <w:widowControl w:val="false"/>
              <w:suppressAutoHyphens w:val="true"/>
              <w:spacing w:before="0" w:after="20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ru-RU" w:eastAsia="ru-RU"/>
              </w:rPr>
              <w:t>Заявитель может обратиться за муниципальной услугой через доверенное лицо.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11"/>
              <w:widowControl w:val="false"/>
              <w:suppressAutoHyphens w:val="false"/>
              <w:overflowPunct w:val="false"/>
              <w:spacing w:lineRule="auto" w:line="240" w:before="0" w:after="200"/>
              <w:ind w:left="0" w:right="0" w:hanging="0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rFonts w:eastAsia="Calibri" w:cs="Liberation 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8"/>
                <w:szCs w:val="28"/>
                <w:highlight w:val="white"/>
                <w:u w:val="none"/>
              </w:rPr>
              <w:t>Исчерпывающий перечень документов, необходимых для предоставления услуги, подлежащих представлению заявителем самостоятельно:</w:t>
            </w:r>
          </w:p>
          <w:p>
            <w:pPr>
              <w:pStyle w:val="Style111"/>
              <w:widowControl w:val="false"/>
              <w:suppressAutoHyphens w:val="false"/>
              <w:overflowPunct w:val="false"/>
              <w:spacing w:lineRule="auto" w:line="240" w:before="0" w:after="200"/>
              <w:ind w:left="0" w:right="0" w:hanging="0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rFonts w:eastAsia="Calibri" w:cs="Liberation 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8"/>
                <w:szCs w:val="28"/>
                <w:highlight w:val="white"/>
                <w:u w:val="none"/>
              </w:rPr>
              <w:t>а) Уведомление об окончании строительства;</w:t>
            </w:r>
          </w:p>
          <w:p>
            <w:pPr>
              <w:pStyle w:val="Style111"/>
              <w:widowControl w:val="false"/>
              <w:suppressAutoHyphens w:val="false"/>
              <w:overflowPunct w:val="false"/>
              <w:spacing w:lineRule="auto" w:line="240" w:before="0" w:after="200"/>
              <w:ind w:left="0" w:right="0" w:hanging="0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rFonts w:eastAsia="Calibri" w:cs="Liberation 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8"/>
                <w:szCs w:val="28"/>
                <w:highlight w:val="white"/>
                <w:u w:val="none"/>
              </w:rPr>
              <w:t>б) Документ, удостоверяющий личность заявителя или представителя заявителя;</w:t>
            </w:r>
          </w:p>
          <w:p>
            <w:pPr>
              <w:pStyle w:val="Style111"/>
              <w:widowControl w:val="false"/>
              <w:suppressAutoHyphens w:val="false"/>
              <w:overflowPunct w:val="false"/>
              <w:spacing w:lineRule="auto" w:line="240" w:before="0" w:after="200"/>
              <w:ind w:left="0" w:right="0" w:hanging="0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rFonts w:eastAsia="Calibri" w:cs="Liberation 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8"/>
                <w:szCs w:val="28"/>
                <w:highlight w:val="white"/>
                <w:u w:val="none"/>
              </w:rPr>
              <w:t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заявителя);</w:t>
            </w:r>
          </w:p>
          <w:p>
            <w:pPr>
              <w:pStyle w:val="Style111"/>
              <w:widowControl w:val="false"/>
              <w:suppressAutoHyphens w:val="false"/>
              <w:overflowPunct w:val="false"/>
              <w:spacing w:lineRule="auto" w:line="240" w:before="0" w:after="200"/>
              <w:ind w:left="0" w:right="0" w:hanging="0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rFonts w:eastAsia="Calibri" w:cs="Liberation 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8"/>
                <w:szCs w:val="28"/>
                <w:highlight w:val="white"/>
                <w:u w:val="none"/>
              </w:rPr>
              <w:t>г)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      </w:r>
          </w:p>
          <w:p>
            <w:pPr>
              <w:pStyle w:val="Style111"/>
              <w:widowControl w:val="false"/>
              <w:suppressAutoHyphens w:val="false"/>
              <w:overflowPunct w:val="false"/>
              <w:spacing w:lineRule="auto" w:line="240" w:before="0" w:after="200"/>
              <w:ind w:left="0" w:right="0" w:hanging="0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rFonts w:eastAsia="Calibri" w:cs="Liberation 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8"/>
                <w:szCs w:val="28"/>
                <w:highlight w:val="white"/>
                <w:u w:val="none"/>
              </w:rPr>
              <w:t>д) Технический план объекта индивидуального жилищного строительства или садового дома;</w:t>
            </w:r>
          </w:p>
          <w:p>
            <w:pPr>
              <w:pStyle w:val="Style111"/>
              <w:widowControl w:val="false"/>
              <w:suppressAutoHyphens w:val="false"/>
              <w:overflowPunct w:val="false"/>
              <w:spacing w:lineRule="auto" w:line="240" w:before="0" w:after="200"/>
              <w:ind w:left="0" w:right="0" w:hanging="0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rFonts w:eastAsia="Calibri" w:cs="Liberation 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8"/>
                <w:szCs w:val="28"/>
                <w:highlight w:val="white"/>
                <w:u w:val="none"/>
              </w:rPr>
              <w:t>е)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арендатора.</w:t>
            </w:r>
          </w:p>
        </w:tc>
      </w:tr>
      <w:tr>
        <w:trPr>
          <w:trHeight w:val="523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Times New Roman"/>
                <w:color w:val="000000"/>
                <w:sz w:val="21"/>
                <w:szCs w:val="21"/>
              </w:rPr>
            </w:pPr>
            <w:r>
              <w:rPr>
                <w:rStyle w:val="Style18"/>
                <w:rFonts w:cs="Times New Roman" w:ascii="Arial" w:hAnsi="Arial"/>
                <w:color w:val="000000"/>
                <w:sz w:val="28"/>
                <w:szCs w:val="28"/>
              </w:rPr>
              <w:t>1) Выписка из ЕГРЮЛ (в случае подачи заявления юридическим лицом);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Times New Roman"/>
                <w:color w:val="000000"/>
                <w:sz w:val="21"/>
                <w:szCs w:val="21"/>
              </w:rPr>
            </w:pPr>
            <w:r>
              <w:rPr>
                <w:rStyle w:val="Style18"/>
                <w:rFonts w:cs="Times New Roman" w:ascii="Arial" w:hAnsi="Arial"/>
                <w:color w:val="000000"/>
                <w:sz w:val="28"/>
                <w:szCs w:val="28"/>
              </w:rPr>
              <w:t>2) Выписка из ЕГРИП  (в случае подачи заявления индивидуальным предпринимателем);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Times New Roman"/>
                <w:color w:val="000000"/>
                <w:sz w:val="21"/>
                <w:szCs w:val="21"/>
              </w:rPr>
            </w:pPr>
            <w:r>
              <w:rPr>
                <w:rStyle w:val="Style18"/>
                <w:rFonts w:cs="Times New Roman" w:ascii="Arial" w:hAnsi="Arial"/>
                <w:color w:val="000000"/>
                <w:sz w:val="28"/>
                <w:szCs w:val="28"/>
              </w:rPr>
              <w:t>3) Выписка из ЕГРН об основных характеристиках и зарегистрированных правах на объект недвижимости.</w:t>
            </w:r>
          </w:p>
        </w:tc>
      </w:tr>
      <w:tr>
        <w:trPr>
          <w:trHeight w:val="1071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Lucida Sans Unicode" w:cs="Liberation Serif"/>
                <w:b w:val="false"/>
                <w:bCs w:val="false"/>
                <w:i w:val="false"/>
                <w:caps w:val="false"/>
                <w:smallCaps w:val="false"/>
                <w:color w:val="00000A"/>
                <w:spacing w:val="0"/>
                <w:kern w:val="2"/>
                <w:sz w:val="28"/>
                <w:szCs w:val="28"/>
                <w:lang w:eastAsia="ru-RU"/>
              </w:rPr>
              <w:t>1)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</w:t>
            </w:r>
          </w:p>
          <w:p>
            <w:pPr>
              <w:pStyle w:val="ConsPlusNormal"/>
              <w:widowControl w:val="false"/>
              <w:spacing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Lucida Sans Unicode" w:cs="Liberation Serif"/>
                <w:b w:val="false"/>
                <w:bCs w:val="false"/>
                <w:i w:val="false"/>
                <w:caps w:val="false"/>
                <w:smallCaps w:val="false"/>
                <w:color w:val="00000A"/>
                <w:spacing w:val="0"/>
                <w:kern w:val="2"/>
                <w:sz w:val="28"/>
                <w:szCs w:val="28"/>
                <w:lang w:eastAsia="ru-RU"/>
              </w:rPr>
              <w:t>2) Уведомление о несоответствии.</w:t>
            </w:r>
          </w:p>
        </w:tc>
      </w:tr>
      <w:tr>
        <w:trPr>
          <w:trHeight w:val="760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left"/>
              <w:rPr>
                <w:sz w:val="28"/>
                <w:szCs w:val="28"/>
              </w:rPr>
            </w:pPr>
            <w:r>
              <w:rPr>
                <w:rFonts w:eastAsia="Times New Roman" w:cs="Arial;sans-serif" w:ascii="Arial" w:hAnsi="Arial"/>
                <w:b w:val="false"/>
                <w:bCs w:val="false"/>
                <w:color w:val="000000"/>
                <w:position w:val="-3"/>
                <w:sz w:val="28"/>
                <w:szCs w:val="28"/>
                <w:lang w:val="ru-RU" w:eastAsia="ru-RU"/>
              </w:rPr>
              <w:t>7 рабочих дней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0"/>
              <w:widowControl w:val="false"/>
              <w:tabs>
                <w:tab w:val="clear" w:pos="708"/>
                <w:tab w:val="left" w:pos="2736" w:leader="none"/>
                <w:tab w:val="left" w:pos="3845" w:leader="none"/>
              </w:tabs>
              <w:suppressAutoHyphens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position w:val="-3"/>
                <w:sz w:val="28"/>
                <w:szCs w:val="28"/>
                <w:lang w:val="ru-RU"/>
              </w:rPr>
              <w:t>Предоставление услуги осуществляется без взимания платы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color w:val="000000"/>
                <w:sz w:val="28"/>
                <w:szCs w:val="28"/>
                <w:lang w:eastAsia="ru-RU"/>
              </w:rPr>
              <w:t>Срок хранения в МФЦ — 30 календарных дней, с последующей передачей в Орган.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Title"/>
              <w:widowControl w:val="false"/>
              <w:bidi w:val="0"/>
              <w:spacing w:lineRule="auto" w:line="240" w:beforeAutospacing="1" w:after="0"/>
              <w:ind w:left="0" w:right="0" w:hanging="0"/>
              <w:jc w:val="both"/>
              <w:rPr/>
            </w:pPr>
            <w:r>
              <w:rPr>
                <w:rStyle w:val="FontStyle20"/>
                <w:rFonts w:eastAsia="ArialMT" w:cs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u w:val="none"/>
                <w:lang w:eastAsia="ru-RU"/>
              </w:rPr>
              <w:t xml:space="preserve">Постановление Администрации Шадринского муниципального округа Курганской области от 19 января 2023 года № 51 Об  утверждении  Административного  регламента предоставления муниципальной услуги   </w:t>
              <w:br/>
              <w:t>«Направление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FontStyle20">
    <w:name w:val="Font Style20"/>
    <w:qFormat/>
    <w:rPr>
      <w:rFonts w:ascii="Times New Roman" w:hAnsi="Times New Roman"/>
      <w:sz w:val="18"/>
    </w:rPr>
  </w:style>
  <w:style w:type="character" w:styleId="Style16">
    <w:name w:val="Посещённая гиперссылка"/>
    <w:rPr>
      <w:color w:val="800000"/>
      <w:u w:val="single"/>
      <w:lang w:val="zxx" w:eastAsia="zxx" w:bidi="zxx"/>
    </w:rPr>
  </w:style>
  <w:style w:type="character" w:styleId="Style17">
    <w:name w:val="Символ нумерации"/>
    <w:qFormat/>
    <w:rPr/>
  </w:style>
  <w:style w:type="character" w:styleId="Style18">
    <w:name w:val="Основной шрифт абзаца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4">
    <w:name w:val="Style2"/>
    <w:basedOn w:val="Normal"/>
    <w:qFormat/>
    <w:pPr>
      <w:suppressAutoHyphens w:val="false"/>
      <w:spacing w:lineRule="exact" w:line="233"/>
      <w:jc w:val="center"/>
    </w:pPr>
    <w:rPr/>
  </w:style>
  <w:style w:type="paragraph" w:styleId="ConsTitle">
    <w:name w:val="ConsTitle"/>
    <w:qFormat/>
    <w:pPr>
      <w:widowControl w:val="false"/>
      <w:suppressAutoHyphens w:val="true"/>
      <w:bidi w:val="0"/>
      <w:spacing w:lineRule="auto" w:line="240" w:before="0" w:after="0"/>
      <w:ind w:left="0"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en-US" w:bidi="ar-SA"/>
    </w:rPr>
  </w:style>
  <w:style w:type="paragraph" w:styleId="Style25">
    <w:name w:val="Содержимое таблицы"/>
    <w:basedOn w:val="Normal"/>
    <w:qFormat/>
    <w:pPr/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Style121">
    <w:name w:val="Style12"/>
    <w:basedOn w:val="Normal"/>
    <w:qFormat/>
    <w:pPr/>
    <w:rPr/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0"/>
      <w:jc w:val="left"/>
      <w:textAlignment w:val="baseline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extbody">
    <w:name w:val="Text body"/>
    <w:basedOn w:val="Normal"/>
    <w:qFormat/>
    <w:pPr>
      <w:spacing w:lineRule="auto" w:line="288" w:before="0" w:after="140"/>
    </w:pPr>
    <w:rPr/>
  </w:style>
  <w:style w:type="paragraph" w:styleId="Style111">
    <w:name w:val="Style11"/>
    <w:basedOn w:val="Normal"/>
    <w:qFormat/>
    <w:pPr>
      <w:spacing w:lineRule="exact" w:line="166"/>
      <w:jc w:val="center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Application>LibreOffice/7.3.7.2$Windows_X86_64 LibreOffice_project/e114eadc50a9ff8d8c8a0567d6da8f454beeb84f</Application>
  <AppVersion>15.0000</AppVersion>
  <Pages>3</Pages>
  <Words>384</Words>
  <Characters>3118</Characters>
  <CharactersWithSpaces>3475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2024-11-02T08:27:17Z</dcterms:modified>
  <cp:revision>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